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995" w:rsidRDefault="00B97995" w:rsidP="00E54136">
      <w:pPr>
        <w:spacing w:line="480" w:lineRule="auto"/>
        <w:jc w:val="center"/>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p>
    <w:p w:rsidR="00B97995" w:rsidRPr="00B97995" w:rsidRDefault="00B97995" w:rsidP="00B97995">
      <w:pPr>
        <w:spacing w:line="480" w:lineRule="auto"/>
        <w:jc w:val="center"/>
        <w:rPr>
          <w:rFonts w:ascii="Times New Roman" w:hAnsi="Times New Roman"/>
          <w:sz w:val="24"/>
          <w:szCs w:val="24"/>
        </w:rPr>
      </w:pPr>
      <w:r w:rsidRPr="00B97995">
        <w:rPr>
          <w:rFonts w:ascii="Times New Roman" w:hAnsi="Times New Roman"/>
          <w:sz w:val="24"/>
          <w:szCs w:val="24"/>
        </w:rPr>
        <w:t>The Introduction of Molecular Methods to Blood Banking</w:t>
      </w:r>
    </w:p>
    <w:p w:rsidR="00DE10BA" w:rsidRDefault="00DE10BA" w:rsidP="00FF26DE">
      <w:pPr>
        <w:spacing w:line="480" w:lineRule="auto"/>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p>
    <w:p w:rsidR="00DE10BA" w:rsidRDefault="00DE10BA" w:rsidP="00E54136">
      <w:pPr>
        <w:spacing w:line="480" w:lineRule="auto"/>
        <w:jc w:val="center"/>
        <w:rPr>
          <w:rFonts w:ascii="Times New Roman" w:hAnsi="Times New Roman"/>
          <w:sz w:val="24"/>
          <w:szCs w:val="24"/>
        </w:rPr>
      </w:pPr>
      <w:bookmarkStart w:id="0" w:name="_GoBack"/>
      <w:bookmarkEnd w:id="0"/>
      <w:r>
        <w:rPr>
          <w:rFonts w:ascii="Times New Roman" w:hAnsi="Times New Roman"/>
          <w:sz w:val="24"/>
          <w:szCs w:val="24"/>
        </w:rPr>
        <w:t>Laura DeLozier</w:t>
      </w:r>
    </w:p>
    <w:p w:rsidR="00DE10BA" w:rsidRDefault="00DE10BA" w:rsidP="00E54136">
      <w:pPr>
        <w:spacing w:line="480" w:lineRule="auto"/>
        <w:jc w:val="center"/>
        <w:rPr>
          <w:rFonts w:ascii="Times New Roman" w:hAnsi="Times New Roman"/>
          <w:sz w:val="24"/>
          <w:szCs w:val="24"/>
        </w:rPr>
      </w:pPr>
      <w:r>
        <w:rPr>
          <w:rFonts w:ascii="Times New Roman" w:hAnsi="Times New Roman"/>
          <w:sz w:val="24"/>
          <w:szCs w:val="24"/>
        </w:rPr>
        <w:t>University of Kansas Medical Center</w:t>
      </w:r>
    </w:p>
    <w:p w:rsidR="00DE10BA" w:rsidRDefault="004B5104" w:rsidP="00E54136">
      <w:pPr>
        <w:spacing w:line="480" w:lineRule="auto"/>
        <w:jc w:val="center"/>
        <w:rPr>
          <w:rFonts w:ascii="Times New Roman" w:hAnsi="Times New Roman"/>
          <w:sz w:val="24"/>
          <w:szCs w:val="24"/>
        </w:rPr>
      </w:pPr>
      <w:r>
        <w:rPr>
          <w:rFonts w:ascii="Times New Roman" w:hAnsi="Times New Roman"/>
          <w:sz w:val="24"/>
          <w:szCs w:val="24"/>
        </w:rPr>
        <w:t>March 11, 2013</w:t>
      </w:r>
    </w:p>
    <w:p w:rsidR="00B97995" w:rsidRDefault="00B97995" w:rsidP="00E54136">
      <w:pPr>
        <w:spacing w:line="480" w:lineRule="auto"/>
        <w:jc w:val="center"/>
        <w:rPr>
          <w:rFonts w:ascii="Times New Roman" w:hAnsi="Times New Roman"/>
          <w:sz w:val="24"/>
          <w:szCs w:val="24"/>
        </w:rPr>
      </w:pPr>
    </w:p>
    <w:p w:rsidR="00B97995" w:rsidRDefault="00B97995" w:rsidP="00E54136">
      <w:pPr>
        <w:spacing w:line="480" w:lineRule="auto"/>
        <w:jc w:val="center"/>
        <w:rPr>
          <w:rFonts w:ascii="Times New Roman" w:hAnsi="Times New Roman"/>
          <w:sz w:val="24"/>
          <w:szCs w:val="24"/>
        </w:rPr>
      </w:pPr>
    </w:p>
    <w:p w:rsidR="00B97995" w:rsidRDefault="00B97995" w:rsidP="00E54136">
      <w:pPr>
        <w:spacing w:line="480" w:lineRule="auto"/>
        <w:jc w:val="center"/>
        <w:rPr>
          <w:rFonts w:ascii="Times New Roman" w:hAnsi="Times New Roman"/>
          <w:sz w:val="24"/>
          <w:szCs w:val="24"/>
        </w:rPr>
      </w:pPr>
    </w:p>
    <w:p w:rsidR="00B97995" w:rsidRDefault="00B97995" w:rsidP="00E54136">
      <w:pPr>
        <w:spacing w:line="480" w:lineRule="auto"/>
        <w:rPr>
          <w:rFonts w:ascii="Times New Roman" w:hAnsi="Times New Roman"/>
          <w:sz w:val="24"/>
          <w:szCs w:val="24"/>
        </w:rPr>
      </w:pPr>
    </w:p>
    <w:p w:rsidR="0063000E" w:rsidRDefault="00C17EE3" w:rsidP="005A59E5">
      <w:pPr>
        <w:spacing w:after="0" w:line="480" w:lineRule="auto"/>
        <w:ind w:firstLine="720"/>
        <w:rPr>
          <w:rFonts w:ascii="Times New Roman" w:hAnsi="Times New Roman"/>
          <w:sz w:val="24"/>
          <w:szCs w:val="24"/>
        </w:rPr>
      </w:pPr>
      <w:r>
        <w:rPr>
          <w:rFonts w:ascii="Times New Roman" w:hAnsi="Times New Roman"/>
          <w:sz w:val="24"/>
          <w:szCs w:val="24"/>
        </w:rPr>
        <w:lastRenderedPageBreak/>
        <w:t>Hemagglutination is the gold standard method for a</w:t>
      </w:r>
      <w:r w:rsidR="00B94C17">
        <w:rPr>
          <w:rFonts w:ascii="Times New Roman" w:hAnsi="Times New Roman"/>
          <w:sz w:val="24"/>
          <w:szCs w:val="24"/>
        </w:rPr>
        <w:t>ntigen typing in the blood bank</w:t>
      </w:r>
      <w:r>
        <w:rPr>
          <w:rFonts w:ascii="Times New Roman" w:hAnsi="Times New Roman"/>
          <w:sz w:val="24"/>
          <w:szCs w:val="24"/>
        </w:rPr>
        <w:t xml:space="preserve"> as it is inexpensive, </w:t>
      </w:r>
      <w:r w:rsidR="000A2606">
        <w:rPr>
          <w:rFonts w:ascii="Times New Roman" w:hAnsi="Times New Roman"/>
          <w:sz w:val="24"/>
          <w:szCs w:val="24"/>
        </w:rPr>
        <w:t xml:space="preserve">quick and </w:t>
      </w:r>
      <w:r>
        <w:rPr>
          <w:rFonts w:ascii="Times New Roman" w:hAnsi="Times New Roman"/>
          <w:sz w:val="24"/>
          <w:szCs w:val="24"/>
        </w:rPr>
        <w:t>easy to perform, requires little equipment, and has an appropriate sensitivity and specificity for providing care to a majority of transfusion patients</w:t>
      </w:r>
      <w:r w:rsidR="00142049">
        <w:rPr>
          <w:rFonts w:ascii="Times New Roman" w:hAnsi="Times New Roman"/>
          <w:sz w:val="24"/>
          <w:szCs w:val="24"/>
        </w:rPr>
        <w:t xml:space="preserve"> (Reid </w:t>
      </w:r>
      <w:r w:rsidR="00142049" w:rsidRPr="00142049">
        <w:rPr>
          <w:rFonts w:ascii="Times New Roman" w:hAnsi="Times New Roman"/>
          <w:sz w:val="24"/>
          <w:szCs w:val="24"/>
        </w:rPr>
        <w:t>2009)</w:t>
      </w:r>
      <w:r>
        <w:rPr>
          <w:rFonts w:ascii="Times New Roman" w:hAnsi="Times New Roman"/>
          <w:sz w:val="24"/>
          <w:szCs w:val="24"/>
        </w:rPr>
        <w:t>.</w:t>
      </w:r>
      <w:r w:rsidR="00A03FD1">
        <w:rPr>
          <w:rFonts w:ascii="Times New Roman" w:hAnsi="Times New Roman"/>
          <w:sz w:val="24"/>
          <w:szCs w:val="24"/>
        </w:rPr>
        <w:t xml:space="preserve">  However, there are several limitations to using hemagglutination tests.  </w:t>
      </w:r>
      <w:r w:rsidR="000A2606">
        <w:rPr>
          <w:rFonts w:ascii="Times New Roman" w:hAnsi="Times New Roman"/>
          <w:sz w:val="24"/>
          <w:szCs w:val="24"/>
        </w:rPr>
        <w:t xml:space="preserve">The test is subjective and may be interpreted differently by various technologists.  </w:t>
      </w:r>
      <w:r w:rsidR="009546CE">
        <w:rPr>
          <w:rFonts w:ascii="Times New Roman" w:hAnsi="Times New Roman"/>
          <w:sz w:val="24"/>
          <w:szCs w:val="24"/>
        </w:rPr>
        <w:t xml:space="preserve">Typing patients that have been recently transfused or have a positive </w:t>
      </w:r>
      <w:r w:rsidR="00E9560C">
        <w:rPr>
          <w:rFonts w:ascii="Times New Roman" w:hAnsi="Times New Roman"/>
          <w:sz w:val="24"/>
          <w:szCs w:val="24"/>
        </w:rPr>
        <w:t>direct antiglobulin test (</w:t>
      </w:r>
      <w:r w:rsidR="009546CE">
        <w:rPr>
          <w:rFonts w:ascii="Times New Roman" w:hAnsi="Times New Roman"/>
          <w:sz w:val="24"/>
          <w:szCs w:val="24"/>
        </w:rPr>
        <w:t>DAT</w:t>
      </w:r>
      <w:r w:rsidR="00E9560C">
        <w:rPr>
          <w:rFonts w:ascii="Times New Roman" w:hAnsi="Times New Roman"/>
          <w:sz w:val="24"/>
          <w:szCs w:val="24"/>
        </w:rPr>
        <w:t>)</w:t>
      </w:r>
      <w:r w:rsidR="009546CE">
        <w:rPr>
          <w:rFonts w:ascii="Times New Roman" w:hAnsi="Times New Roman"/>
          <w:sz w:val="24"/>
          <w:szCs w:val="24"/>
        </w:rPr>
        <w:t xml:space="preserve"> can be </w:t>
      </w:r>
      <w:r w:rsidR="00D46BCC">
        <w:rPr>
          <w:rFonts w:ascii="Times New Roman" w:hAnsi="Times New Roman"/>
          <w:sz w:val="24"/>
          <w:szCs w:val="24"/>
        </w:rPr>
        <w:t>challenging</w:t>
      </w:r>
      <w:r w:rsidR="00142049">
        <w:rPr>
          <w:rFonts w:ascii="Times New Roman" w:hAnsi="Times New Roman"/>
          <w:sz w:val="24"/>
          <w:szCs w:val="24"/>
        </w:rPr>
        <w:t xml:space="preserve"> </w:t>
      </w:r>
      <w:r w:rsidR="00142049" w:rsidRPr="00142049">
        <w:rPr>
          <w:rFonts w:ascii="Times New Roman" w:hAnsi="Times New Roman"/>
          <w:sz w:val="24"/>
          <w:szCs w:val="24"/>
        </w:rPr>
        <w:t>(Reid 2009)</w:t>
      </w:r>
      <w:r w:rsidR="009546CE">
        <w:rPr>
          <w:rFonts w:ascii="Times New Roman" w:hAnsi="Times New Roman"/>
          <w:sz w:val="24"/>
          <w:szCs w:val="24"/>
        </w:rPr>
        <w:t>.  Hemagglutination is somewhat labor-intensive</w:t>
      </w:r>
      <w:r w:rsidR="00B94C17">
        <w:rPr>
          <w:rFonts w:ascii="Times New Roman" w:hAnsi="Times New Roman"/>
          <w:sz w:val="24"/>
          <w:szCs w:val="24"/>
        </w:rPr>
        <w:t>, limiting the number of donors</w:t>
      </w:r>
      <w:r w:rsidR="009546CE">
        <w:rPr>
          <w:rFonts w:ascii="Times New Roman" w:hAnsi="Times New Roman"/>
          <w:sz w:val="24"/>
          <w:szCs w:val="24"/>
        </w:rPr>
        <w:t xml:space="preserve"> as well as the num</w:t>
      </w:r>
      <w:r w:rsidR="00B94C17">
        <w:rPr>
          <w:rFonts w:ascii="Times New Roman" w:hAnsi="Times New Roman"/>
          <w:sz w:val="24"/>
          <w:szCs w:val="24"/>
        </w:rPr>
        <w:t>ber of antigens</w:t>
      </w:r>
      <w:r w:rsidR="009546CE">
        <w:rPr>
          <w:rFonts w:ascii="Times New Roman" w:hAnsi="Times New Roman"/>
          <w:sz w:val="24"/>
          <w:szCs w:val="24"/>
        </w:rPr>
        <w:t xml:space="preserve"> that can be tested.  This in turn limits the amount of antigen-negative donor units ava</w:t>
      </w:r>
      <w:r w:rsidR="005D064B">
        <w:rPr>
          <w:rFonts w:ascii="Times New Roman" w:hAnsi="Times New Roman"/>
          <w:sz w:val="24"/>
          <w:szCs w:val="24"/>
        </w:rPr>
        <w:t>ilable.  Hemagglutination does not reliably predict zygosity in Rh-positive patients or directly identify a fetus at risk for hemolytic disease of the fetus and newborn (HDFN)</w:t>
      </w:r>
      <w:r w:rsidR="00142049">
        <w:rPr>
          <w:rFonts w:ascii="Times New Roman" w:hAnsi="Times New Roman"/>
          <w:sz w:val="24"/>
          <w:szCs w:val="24"/>
        </w:rPr>
        <w:t xml:space="preserve"> (Reid 2009)</w:t>
      </w:r>
      <w:r w:rsidR="005D064B">
        <w:rPr>
          <w:rFonts w:ascii="Times New Roman" w:hAnsi="Times New Roman"/>
          <w:sz w:val="24"/>
          <w:szCs w:val="24"/>
        </w:rPr>
        <w:t>.  Reagent antisera used in hemaggl</w:t>
      </w:r>
      <w:r w:rsidR="00B94C17">
        <w:rPr>
          <w:rFonts w:ascii="Times New Roman" w:hAnsi="Times New Roman"/>
          <w:sz w:val="24"/>
          <w:szCs w:val="24"/>
        </w:rPr>
        <w:t>utination is increasing in cost</w:t>
      </w:r>
      <w:r w:rsidR="005D064B">
        <w:rPr>
          <w:rFonts w:ascii="Times New Roman" w:hAnsi="Times New Roman"/>
          <w:sz w:val="24"/>
          <w:szCs w:val="24"/>
        </w:rPr>
        <w:t xml:space="preserve"> and some antibodies are very limited, react weakly, or may not even be available</w:t>
      </w:r>
      <w:r w:rsidR="005A59E5">
        <w:rPr>
          <w:rFonts w:ascii="Times New Roman" w:hAnsi="Times New Roman"/>
          <w:sz w:val="24"/>
          <w:szCs w:val="24"/>
        </w:rPr>
        <w:t xml:space="preserve"> (Reid 2009)</w:t>
      </w:r>
      <w:r w:rsidR="005D064B">
        <w:rPr>
          <w:rFonts w:ascii="Times New Roman" w:hAnsi="Times New Roman"/>
          <w:sz w:val="24"/>
          <w:szCs w:val="24"/>
        </w:rPr>
        <w:t xml:space="preserve">.  </w:t>
      </w:r>
      <w:r w:rsidR="00B558F7">
        <w:rPr>
          <w:rFonts w:ascii="Times New Roman" w:hAnsi="Times New Roman"/>
          <w:sz w:val="24"/>
          <w:szCs w:val="24"/>
        </w:rPr>
        <w:t xml:space="preserve">Due to developments in gene sequencing, molecular methods can now be used to overcome </w:t>
      </w:r>
      <w:r w:rsidR="00153088">
        <w:rPr>
          <w:rFonts w:ascii="Times New Roman" w:hAnsi="Times New Roman"/>
          <w:sz w:val="24"/>
          <w:szCs w:val="24"/>
        </w:rPr>
        <w:t>the li</w:t>
      </w:r>
      <w:r w:rsidR="00AC1AAF">
        <w:rPr>
          <w:rFonts w:ascii="Times New Roman" w:hAnsi="Times New Roman"/>
          <w:sz w:val="24"/>
          <w:szCs w:val="24"/>
        </w:rPr>
        <w:t>mitations of hemagglutination and provide better patient care by resolving serological typing problems and allowing transfusion patients to be precisely matched to donor units</w:t>
      </w:r>
      <w:r w:rsidR="00191C4B">
        <w:rPr>
          <w:rFonts w:ascii="Times New Roman" w:hAnsi="Times New Roman"/>
          <w:sz w:val="24"/>
          <w:szCs w:val="24"/>
        </w:rPr>
        <w:t xml:space="preserve"> </w:t>
      </w:r>
      <w:r w:rsidR="00191C4B">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191C4B">
        <w:rPr>
          <w:rFonts w:ascii="Times New Roman" w:hAnsi="Times New Roman"/>
          <w:sz w:val="24"/>
          <w:szCs w:val="24"/>
        </w:rPr>
        <w:instrText xml:space="preserve"> ADDIN EN.CITE </w:instrText>
      </w:r>
      <w:r w:rsidR="00191C4B">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191C4B">
        <w:rPr>
          <w:rFonts w:ascii="Times New Roman" w:hAnsi="Times New Roman"/>
          <w:sz w:val="24"/>
          <w:szCs w:val="24"/>
        </w:rPr>
        <w:instrText xml:space="preserve"> ADDIN EN.CITE.DATA </w:instrText>
      </w:r>
      <w:r w:rsidR="00191C4B">
        <w:rPr>
          <w:rFonts w:ascii="Times New Roman" w:hAnsi="Times New Roman"/>
          <w:sz w:val="24"/>
          <w:szCs w:val="24"/>
        </w:rPr>
      </w:r>
      <w:r w:rsidR="00191C4B">
        <w:rPr>
          <w:rFonts w:ascii="Times New Roman" w:hAnsi="Times New Roman"/>
          <w:sz w:val="24"/>
          <w:szCs w:val="24"/>
        </w:rPr>
        <w:fldChar w:fldCharType="end"/>
      </w:r>
      <w:r w:rsidR="00191C4B">
        <w:rPr>
          <w:rFonts w:ascii="Times New Roman" w:hAnsi="Times New Roman"/>
          <w:sz w:val="24"/>
          <w:szCs w:val="24"/>
        </w:rPr>
      </w:r>
      <w:r w:rsidR="00191C4B">
        <w:rPr>
          <w:rFonts w:ascii="Times New Roman" w:hAnsi="Times New Roman"/>
          <w:sz w:val="24"/>
          <w:szCs w:val="24"/>
        </w:rPr>
        <w:fldChar w:fldCharType="separate"/>
      </w:r>
      <w:r w:rsidR="00191C4B">
        <w:rPr>
          <w:rFonts w:ascii="Times New Roman" w:hAnsi="Times New Roman"/>
          <w:noProof/>
          <w:sz w:val="24"/>
          <w:szCs w:val="24"/>
        </w:rPr>
        <w:t>(</w:t>
      </w:r>
      <w:hyperlink w:anchor="_ENREF_4" w:tooltip="Reid, 2011 #21" w:history="1">
        <w:r w:rsidR="005A59E5">
          <w:rPr>
            <w:rFonts w:ascii="Times New Roman" w:hAnsi="Times New Roman"/>
            <w:noProof/>
            <w:sz w:val="24"/>
            <w:szCs w:val="24"/>
          </w:rPr>
          <w:t>Reid and Denomme 2011</w:t>
        </w:r>
      </w:hyperlink>
      <w:r w:rsidR="00191C4B">
        <w:rPr>
          <w:rFonts w:ascii="Times New Roman" w:hAnsi="Times New Roman"/>
          <w:noProof/>
          <w:sz w:val="24"/>
          <w:szCs w:val="24"/>
        </w:rPr>
        <w:t>)</w:t>
      </w:r>
      <w:r w:rsidR="00191C4B">
        <w:rPr>
          <w:rFonts w:ascii="Times New Roman" w:hAnsi="Times New Roman"/>
          <w:sz w:val="24"/>
          <w:szCs w:val="24"/>
        </w:rPr>
        <w:fldChar w:fldCharType="end"/>
      </w:r>
      <w:r w:rsidR="00AC1AAF">
        <w:rPr>
          <w:rFonts w:ascii="Times New Roman" w:hAnsi="Times New Roman"/>
          <w:sz w:val="24"/>
          <w:szCs w:val="24"/>
        </w:rPr>
        <w:t>.</w:t>
      </w:r>
    </w:p>
    <w:p w:rsidR="00B97995" w:rsidRDefault="0063000E" w:rsidP="005A59E5">
      <w:pPr>
        <w:spacing w:after="0" w:line="480" w:lineRule="auto"/>
        <w:rPr>
          <w:rFonts w:ascii="Times New Roman" w:hAnsi="Times New Roman"/>
          <w:sz w:val="24"/>
          <w:szCs w:val="24"/>
        </w:rPr>
      </w:pPr>
      <w:r>
        <w:rPr>
          <w:rFonts w:ascii="Times New Roman" w:hAnsi="Times New Roman"/>
          <w:sz w:val="24"/>
          <w:szCs w:val="24"/>
        </w:rPr>
        <w:tab/>
      </w:r>
      <w:r w:rsidR="000560CC">
        <w:rPr>
          <w:rFonts w:ascii="Times New Roman" w:hAnsi="Times New Roman"/>
          <w:sz w:val="24"/>
          <w:szCs w:val="24"/>
        </w:rPr>
        <w:t>There are more than 300 red blood cell antigens</w:t>
      </w:r>
      <w:r w:rsidR="00B6321C">
        <w:rPr>
          <w:rFonts w:ascii="Times New Roman" w:hAnsi="Times New Roman"/>
          <w:sz w:val="24"/>
          <w:szCs w:val="24"/>
        </w:rPr>
        <w:t xml:space="preserve"> belonging to 30 blood group systems.  The genes of 29 of these 30 blood groups have been identified and </w:t>
      </w:r>
      <w:r w:rsidR="00934008">
        <w:rPr>
          <w:rFonts w:ascii="Times New Roman" w:hAnsi="Times New Roman"/>
          <w:sz w:val="24"/>
          <w:szCs w:val="24"/>
        </w:rPr>
        <w:t>sequenced, allowing blood group antigens</w:t>
      </w:r>
      <w:r w:rsidR="00B6321C">
        <w:rPr>
          <w:rFonts w:ascii="Times New Roman" w:hAnsi="Times New Roman"/>
          <w:sz w:val="24"/>
          <w:szCs w:val="24"/>
        </w:rPr>
        <w:t xml:space="preserve"> to be determined by geno</w:t>
      </w:r>
      <w:r w:rsidR="00934008">
        <w:rPr>
          <w:rFonts w:ascii="Times New Roman" w:hAnsi="Times New Roman"/>
          <w:sz w:val="24"/>
          <w:szCs w:val="24"/>
        </w:rPr>
        <w:t>t</w:t>
      </w:r>
      <w:r w:rsidR="00820F0B">
        <w:rPr>
          <w:rFonts w:ascii="Times New Roman" w:hAnsi="Times New Roman"/>
          <w:sz w:val="24"/>
          <w:szCs w:val="24"/>
        </w:rPr>
        <w:t>ype rather than agglutination</w:t>
      </w:r>
      <w:r w:rsidR="00D25D15">
        <w:rPr>
          <w:rFonts w:ascii="Times New Roman" w:hAnsi="Times New Roman"/>
          <w:sz w:val="24"/>
          <w:szCs w:val="24"/>
        </w:rPr>
        <w:t xml:space="preserve"> </w:t>
      </w:r>
      <w:r w:rsidR="00D25D15">
        <w:rPr>
          <w:rFonts w:ascii="Times New Roman" w:hAnsi="Times New Roman"/>
          <w:sz w:val="24"/>
          <w:szCs w:val="24"/>
        </w:rPr>
        <w:fldChar w:fldCharType="begin">
          <w:fldData xml:space="preserve">PEVuZE5vdGU+PENpdGU+PEF1dGhvcj5SZWlkPC9BdXRob3I+PFllYXI+MjAwOTwvWWVhcj48UmVj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==
</w:fldData>
        </w:fldChar>
      </w:r>
      <w:r w:rsidR="00D25D15">
        <w:rPr>
          <w:rFonts w:ascii="Times New Roman" w:hAnsi="Times New Roman"/>
          <w:sz w:val="24"/>
          <w:szCs w:val="24"/>
        </w:rPr>
        <w:instrText xml:space="preserve"> ADDIN EN.CITE </w:instrText>
      </w:r>
      <w:r w:rsidR="00D25D15">
        <w:rPr>
          <w:rFonts w:ascii="Times New Roman" w:hAnsi="Times New Roman"/>
          <w:sz w:val="24"/>
          <w:szCs w:val="24"/>
        </w:rPr>
        <w:fldChar w:fldCharType="begin">
          <w:fldData xml:space="preserve">PEVuZE5vdGU+PENpdGU+PEF1dGhvcj5SZWlkPC9BdXRob3I+PFllYXI+MjAwOTwvWWVhcj48UmVj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==
</w:fldData>
        </w:fldChar>
      </w:r>
      <w:r w:rsidR="00D25D15">
        <w:rPr>
          <w:rFonts w:ascii="Times New Roman" w:hAnsi="Times New Roman"/>
          <w:sz w:val="24"/>
          <w:szCs w:val="24"/>
        </w:rPr>
        <w:instrText xml:space="preserve"> ADDIN EN.CITE.DATA </w:instrText>
      </w:r>
      <w:r w:rsidR="00D25D15">
        <w:rPr>
          <w:rFonts w:ascii="Times New Roman" w:hAnsi="Times New Roman"/>
          <w:sz w:val="24"/>
          <w:szCs w:val="24"/>
        </w:rPr>
      </w:r>
      <w:r w:rsidR="00D25D15">
        <w:rPr>
          <w:rFonts w:ascii="Times New Roman" w:hAnsi="Times New Roman"/>
          <w:sz w:val="24"/>
          <w:szCs w:val="24"/>
        </w:rPr>
        <w:fldChar w:fldCharType="end"/>
      </w:r>
      <w:r w:rsidR="00D25D15">
        <w:rPr>
          <w:rFonts w:ascii="Times New Roman" w:hAnsi="Times New Roman"/>
          <w:sz w:val="24"/>
          <w:szCs w:val="24"/>
        </w:rPr>
      </w:r>
      <w:r w:rsidR="00D25D15">
        <w:rPr>
          <w:rFonts w:ascii="Times New Roman" w:hAnsi="Times New Roman"/>
          <w:sz w:val="24"/>
          <w:szCs w:val="24"/>
        </w:rPr>
        <w:fldChar w:fldCharType="separate"/>
      </w:r>
      <w:r w:rsidR="00D25D15">
        <w:rPr>
          <w:rFonts w:ascii="Times New Roman" w:hAnsi="Times New Roman"/>
          <w:noProof/>
          <w:sz w:val="24"/>
          <w:szCs w:val="24"/>
        </w:rPr>
        <w:t>(</w:t>
      </w:r>
      <w:hyperlink w:anchor="_ENREF_3" w:tooltip="Reid, 2009 #20" w:history="1">
        <w:r w:rsidR="005A59E5">
          <w:rPr>
            <w:rFonts w:ascii="Times New Roman" w:hAnsi="Times New Roman"/>
            <w:noProof/>
            <w:sz w:val="24"/>
            <w:szCs w:val="24"/>
          </w:rPr>
          <w:t>Reid 2009</w:t>
        </w:r>
      </w:hyperlink>
      <w:r w:rsidR="00D25D15">
        <w:rPr>
          <w:rFonts w:ascii="Times New Roman" w:hAnsi="Times New Roman"/>
          <w:noProof/>
          <w:sz w:val="24"/>
          <w:szCs w:val="24"/>
        </w:rPr>
        <w:t>)</w:t>
      </w:r>
      <w:r w:rsidR="00D25D15">
        <w:rPr>
          <w:rFonts w:ascii="Times New Roman" w:hAnsi="Times New Roman"/>
          <w:sz w:val="24"/>
          <w:szCs w:val="24"/>
        </w:rPr>
        <w:fldChar w:fldCharType="end"/>
      </w:r>
      <w:r w:rsidR="00820F0B">
        <w:rPr>
          <w:rFonts w:ascii="Times New Roman" w:hAnsi="Times New Roman"/>
          <w:sz w:val="24"/>
          <w:szCs w:val="24"/>
        </w:rPr>
        <w:t xml:space="preserve">.  </w:t>
      </w:r>
      <w:r w:rsidR="001D463F">
        <w:rPr>
          <w:rFonts w:ascii="Times New Roman" w:hAnsi="Times New Roman"/>
          <w:sz w:val="24"/>
          <w:szCs w:val="24"/>
        </w:rPr>
        <w:t>Almost all available</w:t>
      </w:r>
      <w:r w:rsidR="00E9560C">
        <w:rPr>
          <w:rFonts w:ascii="Times New Roman" w:hAnsi="Times New Roman"/>
          <w:sz w:val="24"/>
          <w:szCs w:val="24"/>
        </w:rPr>
        <w:t xml:space="preserve"> </w:t>
      </w:r>
      <w:r w:rsidR="001D463F">
        <w:rPr>
          <w:rFonts w:ascii="Times New Roman" w:hAnsi="Times New Roman"/>
          <w:sz w:val="24"/>
          <w:szCs w:val="24"/>
        </w:rPr>
        <w:t>molecular techniques use polymerase chain reaction (PCR)-based methods to amplify and sequence specific genes to identify the antigens that may be present on red blood cells</w:t>
      </w:r>
      <w:r w:rsidR="00D25D15">
        <w:rPr>
          <w:rFonts w:ascii="Times New Roman" w:hAnsi="Times New Roman"/>
          <w:sz w:val="24"/>
          <w:szCs w:val="24"/>
        </w:rPr>
        <w:t xml:space="preserve"> </w:t>
      </w:r>
      <w:r w:rsidR="00D25D15">
        <w:rPr>
          <w:rFonts w:ascii="Times New Roman" w:hAnsi="Times New Roman"/>
          <w:sz w:val="24"/>
          <w:szCs w:val="24"/>
        </w:rPr>
        <w:fldChar w:fldCharType="begin"/>
      </w:r>
      <w:r w:rsidR="00D25D15">
        <w:rPr>
          <w:rFonts w:ascii="Times New Roman" w:hAnsi="Times New Roman"/>
          <w:sz w:val="24"/>
          <w:szCs w:val="24"/>
        </w:rPr>
        <w:instrText xml:space="preserve"> ADDIN EN.CITE &lt;EndNote&gt;&lt;Cite&gt;&lt;Author&gt;Moulds&lt;/Author&gt;&lt;Year&gt;2010&lt;/Year&gt;&lt;RecNum&gt;17&lt;/RecNum&gt;&lt;DisplayText&gt;(Moulds 2010)&lt;/DisplayText&gt;&lt;record&gt;&lt;rec-number&gt;17&lt;/rec-number&gt;&lt;foreign-keys&gt;&lt;key app="EN" db-id="rv2xa05wjrv2ejee22ovfvfc9wv2fzet9vf2"&gt;17&lt;/key&gt;&lt;/foreign-keys&gt;&lt;ref-type name="Journal Article"&gt;17&lt;/ref-type&gt;&lt;contributors&gt;&lt;authors&gt;&lt;author&gt;Moulds, J. M.&lt;/author&gt;&lt;/authors&gt;&lt;/contributors&gt;&lt;auth-address&gt;Clinical Immunogenetics, LifeShare Blood Centers, 8910 Linwood Avenue, Shreveport, LA 71106, USA. jmmoulds@lifeshare.org&lt;/auth-address&gt;&lt;titles&gt;&lt;title&gt;Future of molecular testing for red blood cell antigens&lt;/title&gt;&lt;secondary-title&gt;Clinics in Laboratory Medicine&lt;/secondary-title&gt;&lt;/titles&gt;&lt;periodical&gt;&lt;full-title&gt;Clinics in Laboratory Medicine&lt;/full-title&gt;&lt;/periodical&gt;&lt;pages&gt;419-429&lt;/pages&gt;&lt;volume&gt;30&lt;/volume&gt;&lt;number&gt;2&lt;/number&gt;&lt;keywords&gt;&lt;keyword&gt;Antigens -- Analysis&lt;/keyword&gt;&lt;keyword&gt;Blood Groups&lt;/keyword&gt;&lt;keyword&gt;Genetic Techniques&lt;/keyword&gt;&lt;keyword&gt;Genotype&lt;/keyword&gt;&lt;keyword&gt;Polymorphism, Genetic&lt;/keyword&gt;&lt;keyword&gt;Biochips&lt;/keyword&gt;&lt;keyword&gt;Blood Donors&lt;/keyword&gt;&lt;keyword&gt;Blood Transfusion&lt;/keyword&gt;&lt;keyword&gt;Health Screening&lt;/keyword&gt;&lt;keyword&gt;Polymerase Chain Reaction&lt;/keyword&gt;&lt;/keywords&gt;&lt;dates&gt;&lt;year&gt;2010&lt;/year&gt;&lt;/dates&gt;&lt;isbn&gt;0272-2712&lt;/isbn&gt;&lt;accession-num&gt;2010713795. Language: English. Entry Date: 20101001. Revision Date: 20110520. Publication Type: journal article&lt;/accession-num&gt;&lt;urls&gt;&lt;related-urls&gt;&lt;url&gt;http://search.ebscohost.com/login.aspx?direct=true&amp;amp;db=rzh&amp;amp;AN=2010713795&amp;amp;site=ehost-live&lt;/url&gt;&lt;url&gt;http://www.sciencedirect.com/science/article/pii/S0272271210000107&lt;/url&gt;&lt;/related-urls&gt;&lt;/urls&gt;&lt;electronic-resource-num&gt;10.1016/j.cll.2010.02.004&lt;/electronic-resource-num&gt;&lt;remote-database-name&gt;rzh&lt;/remote-database-name&gt;&lt;remote-database-provider&gt;EBSCOhost&lt;/remote-database-provider&gt;&lt;/record&gt;&lt;/Cite&gt;&lt;/EndNote&gt;</w:instrText>
      </w:r>
      <w:r w:rsidR="00D25D15">
        <w:rPr>
          <w:rFonts w:ascii="Times New Roman" w:hAnsi="Times New Roman"/>
          <w:sz w:val="24"/>
          <w:szCs w:val="24"/>
        </w:rPr>
        <w:fldChar w:fldCharType="separate"/>
      </w:r>
      <w:r w:rsidR="00D25D15">
        <w:rPr>
          <w:rFonts w:ascii="Times New Roman" w:hAnsi="Times New Roman"/>
          <w:noProof/>
          <w:sz w:val="24"/>
          <w:szCs w:val="24"/>
        </w:rPr>
        <w:t>(</w:t>
      </w:r>
      <w:hyperlink w:anchor="_ENREF_2" w:tooltip="Moulds, 2010 #17" w:history="1">
        <w:r w:rsidR="005A59E5">
          <w:rPr>
            <w:rFonts w:ascii="Times New Roman" w:hAnsi="Times New Roman"/>
            <w:noProof/>
            <w:sz w:val="24"/>
            <w:szCs w:val="24"/>
          </w:rPr>
          <w:t>Moulds 2010</w:t>
        </w:r>
      </w:hyperlink>
      <w:r w:rsidR="00D25D15">
        <w:rPr>
          <w:rFonts w:ascii="Times New Roman" w:hAnsi="Times New Roman"/>
          <w:noProof/>
          <w:sz w:val="24"/>
          <w:szCs w:val="24"/>
        </w:rPr>
        <w:t>)</w:t>
      </w:r>
      <w:r w:rsidR="00D25D15">
        <w:rPr>
          <w:rFonts w:ascii="Times New Roman" w:hAnsi="Times New Roman"/>
          <w:sz w:val="24"/>
          <w:szCs w:val="24"/>
        </w:rPr>
        <w:fldChar w:fldCharType="end"/>
      </w:r>
      <w:r w:rsidR="001D463F">
        <w:rPr>
          <w:rFonts w:ascii="Times New Roman" w:hAnsi="Times New Roman"/>
          <w:sz w:val="24"/>
          <w:szCs w:val="24"/>
        </w:rPr>
        <w:t xml:space="preserve">.  </w:t>
      </w:r>
    </w:p>
    <w:p w:rsidR="00E54136" w:rsidRDefault="00820F0B" w:rsidP="005A59E5">
      <w:pPr>
        <w:spacing w:after="0" w:line="480" w:lineRule="auto"/>
        <w:ind w:firstLine="720"/>
        <w:rPr>
          <w:rFonts w:ascii="Times New Roman" w:hAnsi="Times New Roman"/>
          <w:sz w:val="24"/>
          <w:szCs w:val="24"/>
        </w:rPr>
      </w:pPr>
      <w:r>
        <w:rPr>
          <w:rFonts w:ascii="Times New Roman" w:hAnsi="Times New Roman"/>
          <w:sz w:val="24"/>
          <w:szCs w:val="24"/>
        </w:rPr>
        <w:t xml:space="preserve">Molecular methods can be used to resolve discrepancies that may arise during tube agglutination, </w:t>
      </w:r>
      <w:r w:rsidR="00151986">
        <w:rPr>
          <w:rFonts w:ascii="Times New Roman" w:hAnsi="Times New Roman"/>
          <w:sz w:val="24"/>
          <w:szCs w:val="24"/>
        </w:rPr>
        <w:t xml:space="preserve">to distinguish an alloantibody from an autoantibody, </w:t>
      </w:r>
      <w:r w:rsidR="00D46BCC">
        <w:rPr>
          <w:rFonts w:ascii="Times New Roman" w:hAnsi="Times New Roman"/>
          <w:sz w:val="24"/>
          <w:szCs w:val="24"/>
        </w:rPr>
        <w:t xml:space="preserve">to identify null or variant </w:t>
      </w:r>
      <w:r w:rsidR="00D46BCC">
        <w:rPr>
          <w:rFonts w:ascii="Times New Roman" w:hAnsi="Times New Roman"/>
          <w:sz w:val="24"/>
          <w:szCs w:val="24"/>
        </w:rPr>
        <w:lastRenderedPageBreak/>
        <w:t xml:space="preserve">alleles, </w:t>
      </w:r>
      <w:r w:rsidR="00151986">
        <w:rPr>
          <w:rFonts w:ascii="Times New Roman" w:hAnsi="Times New Roman"/>
          <w:sz w:val="24"/>
          <w:szCs w:val="24"/>
        </w:rPr>
        <w:t>to determine zygosity, and to identify a fetus at risk of HDFN</w:t>
      </w:r>
      <w:r w:rsidR="00142049">
        <w:rPr>
          <w:rFonts w:ascii="Times New Roman" w:hAnsi="Times New Roman"/>
          <w:sz w:val="24"/>
          <w:szCs w:val="24"/>
        </w:rPr>
        <w:t xml:space="preserve"> (Anstee 2009)</w:t>
      </w:r>
      <w:r w:rsidR="00151986">
        <w:rPr>
          <w:rFonts w:ascii="Times New Roman" w:hAnsi="Times New Roman"/>
          <w:sz w:val="24"/>
          <w:szCs w:val="24"/>
        </w:rPr>
        <w:t xml:space="preserve">.  DNA-based assays are helpful in typing a patient that has been recently transfused, has had an allogenic stem cell transplant, is DAT positive, </w:t>
      </w:r>
      <w:r w:rsidR="00B94C17">
        <w:rPr>
          <w:rFonts w:ascii="Times New Roman" w:hAnsi="Times New Roman"/>
          <w:sz w:val="24"/>
          <w:szCs w:val="24"/>
        </w:rPr>
        <w:t>or who has weak antigen expression</w:t>
      </w:r>
      <w:r w:rsidR="00777182">
        <w:rPr>
          <w:rFonts w:ascii="Times New Roman" w:hAnsi="Times New Roman"/>
          <w:sz w:val="24"/>
          <w:szCs w:val="24"/>
        </w:rPr>
        <w:t xml:space="preserve"> (Reid 2009)</w:t>
      </w:r>
      <w:r w:rsidR="00B94C17">
        <w:rPr>
          <w:rFonts w:ascii="Times New Roman" w:hAnsi="Times New Roman"/>
          <w:sz w:val="24"/>
          <w:szCs w:val="24"/>
        </w:rPr>
        <w:t>.</w:t>
      </w:r>
      <w:r w:rsidR="00672D6D">
        <w:rPr>
          <w:rFonts w:ascii="Times New Roman" w:hAnsi="Times New Roman"/>
          <w:sz w:val="24"/>
          <w:szCs w:val="24"/>
        </w:rPr>
        <w:t xml:space="preserve"> </w:t>
      </w:r>
      <w:r w:rsidR="00B94C17">
        <w:rPr>
          <w:rFonts w:ascii="Times New Roman" w:hAnsi="Times New Roman"/>
          <w:sz w:val="24"/>
          <w:szCs w:val="24"/>
        </w:rPr>
        <w:t>These methods can also be helpful when typing for antigens whose antisera are</w:t>
      </w:r>
      <w:r w:rsidR="00672D6D">
        <w:rPr>
          <w:rFonts w:ascii="Times New Roman" w:hAnsi="Times New Roman"/>
          <w:sz w:val="24"/>
          <w:szCs w:val="24"/>
        </w:rPr>
        <w:t xml:space="preserve"> weak or unavailable.</w:t>
      </w:r>
      <w:r w:rsidR="00E922D0">
        <w:rPr>
          <w:rFonts w:ascii="Times New Roman" w:hAnsi="Times New Roman"/>
          <w:sz w:val="24"/>
          <w:szCs w:val="24"/>
        </w:rPr>
        <w:t xml:space="preserve">  Molecular techniques can be </w:t>
      </w:r>
      <w:r w:rsidR="009344BA">
        <w:rPr>
          <w:rFonts w:ascii="Times New Roman" w:hAnsi="Times New Roman"/>
          <w:sz w:val="24"/>
          <w:szCs w:val="24"/>
        </w:rPr>
        <w:t>useful</w:t>
      </w:r>
      <w:r w:rsidR="00B94C17">
        <w:rPr>
          <w:rFonts w:ascii="Times New Roman" w:hAnsi="Times New Roman"/>
          <w:sz w:val="24"/>
          <w:szCs w:val="24"/>
        </w:rPr>
        <w:t xml:space="preserve"> when typing blood donors as well.  The capability</w:t>
      </w:r>
      <w:r w:rsidR="00E922D0">
        <w:rPr>
          <w:rFonts w:ascii="Times New Roman" w:hAnsi="Times New Roman"/>
          <w:sz w:val="24"/>
          <w:szCs w:val="24"/>
        </w:rPr>
        <w:t xml:space="preserve"> </w:t>
      </w:r>
      <w:r w:rsidR="00B94C17">
        <w:rPr>
          <w:rFonts w:ascii="Times New Roman" w:hAnsi="Times New Roman"/>
          <w:sz w:val="24"/>
          <w:szCs w:val="24"/>
        </w:rPr>
        <w:t>to mass screen</w:t>
      </w:r>
      <w:r w:rsidR="00E922D0">
        <w:rPr>
          <w:rFonts w:ascii="Times New Roman" w:hAnsi="Times New Roman"/>
          <w:sz w:val="24"/>
          <w:szCs w:val="24"/>
        </w:rPr>
        <w:t xml:space="preserve"> donors can increase the inventory of antigen-negative blood, help to find donors whose red blood cells lack high-prevalence antigens, and </w:t>
      </w:r>
      <w:r w:rsidR="00F64BA5">
        <w:rPr>
          <w:rFonts w:ascii="Times New Roman" w:hAnsi="Times New Roman"/>
          <w:sz w:val="24"/>
          <w:szCs w:val="24"/>
        </w:rPr>
        <w:t xml:space="preserve">can </w:t>
      </w:r>
      <w:r w:rsidR="00B94C17">
        <w:rPr>
          <w:rFonts w:ascii="Times New Roman" w:hAnsi="Times New Roman"/>
          <w:sz w:val="24"/>
          <w:szCs w:val="24"/>
        </w:rPr>
        <w:t>allow the typing of</w:t>
      </w:r>
      <w:r w:rsidR="00E922D0">
        <w:rPr>
          <w:rFonts w:ascii="Times New Roman" w:hAnsi="Times New Roman"/>
          <w:sz w:val="24"/>
          <w:szCs w:val="24"/>
        </w:rPr>
        <w:t xml:space="preserve"> donors for reagent red blood cells, such as antibody screening cells and antibody identification panels</w:t>
      </w:r>
      <w:r w:rsidR="00142049">
        <w:rPr>
          <w:rFonts w:ascii="Times New Roman" w:hAnsi="Times New Roman"/>
          <w:sz w:val="24"/>
          <w:szCs w:val="24"/>
        </w:rPr>
        <w:t xml:space="preserve"> </w:t>
      </w:r>
      <w:r w:rsidR="00142049" w:rsidRPr="00142049">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142049" w:rsidRPr="00142049">
        <w:rPr>
          <w:rFonts w:ascii="Times New Roman" w:hAnsi="Times New Roman"/>
          <w:sz w:val="24"/>
          <w:szCs w:val="24"/>
        </w:rPr>
        <w:instrText xml:space="preserve"> ADDIN EN.CITE </w:instrText>
      </w:r>
      <w:r w:rsidR="00142049" w:rsidRPr="00142049">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142049" w:rsidRPr="00142049">
        <w:rPr>
          <w:rFonts w:ascii="Times New Roman" w:hAnsi="Times New Roman"/>
          <w:sz w:val="24"/>
          <w:szCs w:val="24"/>
        </w:rPr>
        <w:instrText xml:space="preserve"> ADDIN EN.CITE.DATA </w:instrText>
      </w:r>
      <w:r w:rsidR="00142049" w:rsidRPr="00142049">
        <w:rPr>
          <w:rFonts w:ascii="Times New Roman" w:hAnsi="Times New Roman"/>
          <w:sz w:val="24"/>
          <w:szCs w:val="24"/>
        </w:rPr>
      </w:r>
      <w:r w:rsidR="00142049" w:rsidRPr="00142049">
        <w:rPr>
          <w:rFonts w:ascii="Times New Roman" w:hAnsi="Times New Roman"/>
          <w:sz w:val="24"/>
          <w:szCs w:val="24"/>
        </w:rPr>
        <w:fldChar w:fldCharType="end"/>
      </w:r>
      <w:r w:rsidR="00142049" w:rsidRPr="00142049">
        <w:rPr>
          <w:rFonts w:ascii="Times New Roman" w:hAnsi="Times New Roman"/>
          <w:sz w:val="24"/>
          <w:szCs w:val="24"/>
        </w:rPr>
      </w:r>
      <w:r w:rsidR="00142049" w:rsidRPr="00142049">
        <w:rPr>
          <w:rFonts w:ascii="Times New Roman" w:hAnsi="Times New Roman"/>
          <w:sz w:val="24"/>
          <w:szCs w:val="24"/>
        </w:rPr>
        <w:fldChar w:fldCharType="separate"/>
      </w:r>
      <w:r w:rsidR="00142049" w:rsidRPr="00142049">
        <w:rPr>
          <w:rFonts w:ascii="Times New Roman" w:hAnsi="Times New Roman"/>
          <w:sz w:val="24"/>
          <w:szCs w:val="24"/>
        </w:rPr>
        <w:t>(</w:t>
      </w:r>
      <w:hyperlink w:anchor="_ENREF_4" w:tooltip="Reid, 2011 #21" w:history="1">
        <w:r w:rsidR="005A59E5" w:rsidRPr="00142049">
          <w:rPr>
            <w:rFonts w:ascii="Times New Roman" w:hAnsi="Times New Roman"/>
            <w:sz w:val="24"/>
            <w:szCs w:val="24"/>
          </w:rPr>
          <w:t>Reid and Denomme 2011</w:t>
        </w:r>
      </w:hyperlink>
      <w:r w:rsidR="00142049" w:rsidRPr="00142049">
        <w:rPr>
          <w:rFonts w:ascii="Times New Roman" w:hAnsi="Times New Roman"/>
          <w:sz w:val="24"/>
          <w:szCs w:val="24"/>
        </w:rPr>
        <w:t>)</w:t>
      </w:r>
      <w:r w:rsidR="00142049" w:rsidRPr="00142049">
        <w:rPr>
          <w:rFonts w:ascii="Times New Roman" w:hAnsi="Times New Roman"/>
          <w:sz w:val="24"/>
          <w:szCs w:val="24"/>
        </w:rPr>
        <w:fldChar w:fldCharType="end"/>
      </w:r>
      <w:r w:rsidR="00E922D0" w:rsidRPr="00142049">
        <w:rPr>
          <w:rFonts w:ascii="Times New Roman" w:hAnsi="Times New Roman"/>
          <w:sz w:val="24"/>
          <w:szCs w:val="24"/>
        </w:rPr>
        <w:t>.</w:t>
      </w:r>
    </w:p>
    <w:p w:rsidR="00D46BCC" w:rsidRDefault="009344BA" w:rsidP="005A59E5">
      <w:pPr>
        <w:spacing w:after="0" w:line="480" w:lineRule="auto"/>
        <w:ind w:firstLine="720"/>
        <w:rPr>
          <w:rFonts w:ascii="Times New Roman" w:hAnsi="Times New Roman"/>
          <w:sz w:val="24"/>
          <w:szCs w:val="24"/>
        </w:rPr>
      </w:pPr>
      <w:r>
        <w:rPr>
          <w:rFonts w:ascii="Times New Roman" w:hAnsi="Times New Roman"/>
          <w:sz w:val="24"/>
          <w:szCs w:val="24"/>
        </w:rPr>
        <w:t>There are several other benefits of using molecular methods in the blood bank.</w:t>
      </w:r>
      <w:r w:rsidR="0027296E">
        <w:rPr>
          <w:rFonts w:ascii="Times New Roman" w:hAnsi="Times New Roman"/>
          <w:sz w:val="24"/>
          <w:szCs w:val="24"/>
        </w:rPr>
        <w:t xml:space="preserve">  </w:t>
      </w:r>
      <w:r w:rsidR="00B6503E">
        <w:rPr>
          <w:rFonts w:ascii="Times New Roman" w:hAnsi="Times New Roman"/>
          <w:sz w:val="24"/>
          <w:szCs w:val="24"/>
        </w:rPr>
        <w:t xml:space="preserve">One is that high-throughput assays are possible due to automation.  </w:t>
      </w:r>
      <w:r w:rsidR="0075017C">
        <w:rPr>
          <w:rFonts w:ascii="Times New Roman" w:hAnsi="Times New Roman"/>
          <w:sz w:val="24"/>
          <w:szCs w:val="24"/>
        </w:rPr>
        <w:t>Results can be interpreted and documented by computerized software, and the data</w:t>
      </w:r>
      <w:r w:rsidR="00F64BA5">
        <w:rPr>
          <w:rFonts w:ascii="Times New Roman" w:hAnsi="Times New Roman"/>
          <w:sz w:val="24"/>
          <w:szCs w:val="24"/>
        </w:rPr>
        <w:t xml:space="preserve"> can</w:t>
      </w:r>
      <w:r w:rsidR="0075017C">
        <w:rPr>
          <w:rFonts w:ascii="Times New Roman" w:hAnsi="Times New Roman"/>
          <w:sz w:val="24"/>
          <w:szCs w:val="24"/>
        </w:rPr>
        <w:t xml:space="preserve"> then</w:t>
      </w:r>
      <w:r w:rsidR="00F64BA5">
        <w:rPr>
          <w:rFonts w:ascii="Times New Roman" w:hAnsi="Times New Roman"/>
          <w:sz w:val="24"/>
          <w:szCs w:val="24"/>
        </w:rPr>
        <w:t xml:space="preserve"> be</w:t>
      </w:r>
      <w:r w:rsidR="0075017C">
        <w:rPr>
          <w:rFonts w:ascii="Times New Roman" w:hAnsi="Times New Roman"/>
          <w:sz w:val="24"/>
          <w:szCs w:val="24"/>
        </w:rPr>
        <w:t xml:space="preserve"> transferred to the patient’s chart or </w:t>
      </w:r>
      <w:r w:rsidR="00BF1A30">
        <w:rPr>
          <w:rFonts w:ascii="Times New Roman" w:hAnsi="Times New Roman"/>
          <w:sz w:val="24"/>
          <w:szCs w:val="24"/>
        </w:rPr>
        <w:t xml:space="preserve">a </w:t>
      </w:r>
      <w:r w:rsidR="0075017C">
        <w:rPr>
          <w:rFonts w:ascii="Times New Roman" w:hAnsi="Times New Roman"/>
          <w:sz w:val="24"/>
          <w:szCs w:val="24"/>
        </w:rPr>
        <w:t>donor database.  By using high-throughput automated systems, transfusion patients can be more closely matched to donor units.</w:t>
      </w:r>
      <w:r w:rsidR="00BF1A30">
        <w:rPr>
          <w:rFonts w:ascii="Times New Roman" w:hAnsi="Times New Roman"/>
          <w:sz w:val="24"/>
          <w:szCs w:val="24"/>
        </w:rPr>
        <w:t xml:space="preserve">  This is </w:t>
      </w:r>
      <w:r w:rsidR="00C35431">
        <w:rPr>
          <w:rFonts w:ascii="Times New Roman" w:hAnsi="Times New Roman"/>
          <w:sz w:val="24"/>
          <w:szCs w:val="24"/>
        </w:rPr>
        <w:t>especially</w:t>
      </w:r>
      <w:r w:rsidR="00BF1A30">
        <w:rPr>
          <w:rFonts w:ascii="Times New Roman" w:hAnsi="Times New Roman"/>
          <w:sz w:val="24"/>
          <w:szCs w:val="24"/>
        </w:rPr>
        <w:t xml:space="preserve"> important in patients who receive chronic transfusions and are more likely to produce alloantibodies, such as patients with sickle cell disease or severe anemic disorders</w:t>
      </w:r>
      <w:r w:rsidR="00777182">
        <w:rPr>
          <w:rFonts w:ascii="Times New Roman" w:hAnsi="Times New Roman"/>
          <w:sz w:val="24"/>
          <w:szCs w:val="24"/>
        </w:rPr>
        <w:t xml:space="preserve"> (Moulds 2010)</w:t>
      </w:r>
      <w:r w:rsidR="00BF1A30">
        <w:rPr>
          <w:rFonts w:ascii="Times New Roman" w:hAnsi="Times New Roman"/>
          <w:sz w:val="24"/>
          <w:szCs w:val="24"/>
        </w:rPr>
        <w:t>.  Another benefit is that special reagents, such as those needed for hemagglutination, are not required.  The reagents used</w:t>
      </w:r>
      <w:r w:rsidR="00C35431">
        <w:rPr>
          <w:rFonts w:ascii="Times New Roman" w:hAnsi="Times New Roman"/>
          <w:sz w:val="24"/>
          <w:szCs w:val="24"/>
        </w:rPr>
        <w:t xml:space="preserve"> for DNA-based methods are readily available</w:t>
      </w:r>
      <w:r w:rsidR="00B8011A">
        <w:rPr>
          <w:rFonts w:ascii="Times New Roman" w:hAnsi="Times New Roman"/>
          <w:sz w:val="24"/>
          <w:szCs w:val="24"/>
        </w:rPr>
        <w:t xml:space="preserve"> (Reid 2009)</w:t>
      </w:r>
      <w:r w:rsidR="00C35431">
        <w:rPr>
          <w:rFonts w:ascii="Times New Roman" w:hAnsi="Times New Roman"/>
          <w:sz w:val="24"/>
          <w:szCs w:val="24"/>
        </w:rPr>
        <w:t>.</w:t>
      </w:r>
      <w:r w:rsidR="00F0462C">
        <w:rPr>
          <w:rFonts w:ascii="Times New Roman" w:hAnsi="Times New Roman"/>
          <w:sz w:val="24"/>
          <w:szCs w:val="24"/>
        </w:rPr>
        <w:t xml:space="preserve">  Automation </w:t>
      </w:r>
      <w:r w:rsidR="00BA2292">
        <w:rPr>
          <w:rFonts w:ascii="Times New Roman" w:hAnsi="Times New Roman"/>
          <w:sz w:val="24"/>
          <w:szCs w:val="24"/>
        </w:rPr>
        <w:t>increases efficiency in the blood bank by decreasing</w:t>
      </w:r>
      <w:r w:rsidR="00F0462C">
        <w:rPr>
          <w:rFonts w:ascii="Times New Roman" w:hAnsi="Times New Roman"/>
          <w:sz w:val="24"/>
          <w:szCs w:val="24"/>
        </w:rPr>
        <w:t xml:space="preserve"> the </w:t>
      </w:r>
      <w:r w:rsidR="00BA2292">
        <w:rPr>
          <w:rFonts w:ascii="Times New Roman" w:hAnsi="Times New Roman"/>
          <w:sz w:val="24"/>
          <w:szCs w:val="24"/>
        </w:rPr>
        <w:t>hands-on time required of the technologists,</w:t>
      </w:r>
      <w:r w:rsidR="00F0462C">
        <w:rPr>
          <w:rFonts w:ascii="Times New Roman" w:hAnsi="Times New Roman"/>
          <w:sz w:val="24"/>
          <w:szCs w:val="24"/>
        </w:rPr>
        <w:t xml:space="preserve"> </w:t>
      </w:r>
      <w:r w:rsidR="00BA2292">
        <w:rPr>
          <w:rFonts w:ascii="Times New Roman" w:hAnsi="Times New Roman"/>
          <w:sz w:val="24"/>
          <w:szCs w:val="24"/>
        </w:rPr>
        <w:t>thereby allowing</w:t>
      </w:r>
      <w:r w:rsidR="00F0462C">
        <w:rPr>
          <w:rFonts w:ascii="Times New Roman" w:hAnsi="Times New Roman"/>
          <w:sz w:val="24"/>
          <w:szCs w:val="24"/>
        </w:rPr>
        <w:t xml:space="preserve"> them to perform other important tasks.</w:t>
      </w:r>
    </w:p>
    <w:p w:rsidR="003A5B39" w:rsidRDefault="00C35431" w:rsidP="005A59E5">
      <w:pPr>
        <w:spacing w:after="0" w:line="480" w:lineRule="auto"/>
        <w:ind w:firstLine="720"/>
        <w:rPr>
          <w:rFonts w:ascii="Times New Roman" w:hAnsi="Times New Roman"/>
          <w:sz w:val="24"/>
          <w:szCs w:val="24"/>
        </w:rPr>
      </w:pPr>
      <w:r>
        <w:rPr>
          <w:rFonts w:ascii="Times New Roman" w:hAnsi="Times New Roman"/>
          <w:sz w:val="24"/>
          <w:szCs w:val="24"/>
        </w:rPr>
        <w:t xml:space="preserve">While there are advantages to using molecular techniques, they do not come without limitations.  First, molecular techniques only predict red blood cell phenotypes, which is why it is recommended that antigen-negativity </w:t>
      </w:r>
      <w:r w:rsidR="00D25D15">
        <w:rPr>
          <w:rFonts w:ascii="Times New Roman" w:hAnsi="Times New Roman"/>
          <w:sz w:val="24"/>
          <w:szCs w:val="24"/>
        </w:rPr>
        <w:t>be</w:t>
      </w:r>
      <w:r>
        <w:rPr>
          <w:rFonts w:ascii="Times New Roman" w:hAnsi="Times New Roman"/>
          <w:sz w:val="24"/>
          <w:szCs w:val="24"/>
        </w:rPr>
        <w:t xml:space="preserve"> confirmed by hemagglutination</w:t>
      </w:r>
      <w:r w:rsidR="005A59E5">
        <w:rPr>
          <w:rFonts w:ascii="Times New Roman" w:hAnsi="Times New Roman"/>
          <w:sz w:val="24"/>
          <w:szCs w:val="24"/>
        </w:rPr>
        <w:t xml:space="preserve"> </w:t>
      </w:r>
      <w:r w:rsidR="005A59E5" w:rsidRPr="005A59E5">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5A59E5">
        <w:rPr>
          <w:rFonts w:ascii="Times New Roman" w:hAnsi="Times New Roman"/>
          <w:sz w:val="24"/>
          <w:szCs w:val="24"/>
        </w:rPr>
        <w:instrText xml:space="preserve"> ADDIN EN.CITE </w:instrText>
      </w:r>
      <w:r w:rsidR="005A59E5">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5A59E5">
        <w:rPr>
          <w:rFonts w:ascii="Times New Roman" w:hAnsi="Times New Roman"/>
          <w:sz w:val="24"/>
          <w:szCs w:val="24"/>
        </w:rPr>
        <w:instrText xml:space="preserve"> ADDIN EN.CITE.DATA </w:instrText>
      </w:r>
      <w:r w:rsidR="005A59E5">
        <w:rPr>
          <w:rFonts w:ascii="Times New Roman" w:hAnsi="Times New Roman"/>
          <w:sz w:val="24"/>
          <w:szCs w:val="24"/>
        </w:rPr>
      </w:r>
      <w:r w:rsidR="005A59E5">
        <w:rPr>
          <w:rFonts w:ascii="Times New Roman" w:hAnsi="Times New Roman"/>
          <w:sz w:val="24"/>
          <w:szCs w:val="24"/>
        </w:rPr>
        <w:fldChar w:fldCharType="end"/>
      </w:r>
      <w:r w:rsidR="005A59E5" w:rsidRPr="005A59E5">
        <w:rPr>
          <w:rFonts w:ascii="Times New Roman" w:hAnsi="Times New Roman"/>
          <w:sz w:val="24"/>
          <w:szCs w:val="24"/>
        </w:rPr>
      </w:r>
      <w:r w:rsidR="005A59E5" w:rsidRPr="005A59E5">
        <w:rPr>
          <w:rFonts w:ascii="Times New Roman" w:hAnsi="Times New Roman"/>
          <w:sz w:val="24"/>
          <w:szCs w:val="24"/>
        </w:rPr>
        <w:fldChar w:fldCharType="separate"/>
      </w:r>
      <w:r w:rsidR="005A59E5">
        <w:rPr>
          <w:rFonts w:ascii="Times New Roman" w:hAnsi="Times New Roman"/>
          <w:noProof/>
          <w:sz w:val="24"/>
          <w:szCs w:val="24"/>
        </w:rPr>
        <w:t>(</w:t>
      </w:r>
      <w:hyperlink w:anchor="_ENREF_4" w:tooltip="Reid, 2011 #21" w:history="1">
        <w:r w:rsidR="005A59E5">
          <w:rPr>
            <w:rFonts w:ascii="Times New Roman" w:hAnsi="Times New Roman"/>
            <w:noProof/>
            <w:sz w:val="24"/>
            <w:szCs w:val="24"/>
          </w:rPr>
          <w:t xml:space="preserve">Reid and Denomme </w:t>
        </w:r>
        <w:r w:rsidR="005A59E5">
          <w:rPr>
            <w:rFonts w:ascii="Times New Roman" w:hAnsi="Times New Roman"/>
            <w:noProof/>
            <w:sz w:val="24"/>
            <w:szCs w:val="24"/>
          </w:rPr>
          <w:lastRenderedPageBreak/>
          <w:t>2011</w:t>
        </w:r>
      </w:hyperlink>
      <w:r w:rsidR="005A59E5">
        <w:rPr>
          <w:rFonts w:ascii="Times New Roman" w:hAnsi="Times New Roman"/>
          <w:noProof/>
          <w:sz w:val="24"/>
          <w:szCs w:val="24"/>
        </w:rPr>
        <w:t>)</w:t>
      </w:r>
      <w:r w:rsidR="005A59E5" w:rsidRPr="005A59E5">
        <w:rPr>
          <w:rFonts w:ascii="Times New Roman" w:hAnsi="Times New Roman"/>
          <w:sz w:val="24"/>
          <w:szCs w:val="24"/>
        </w:rPr>
        <w:fldChar w:fldCharType="end"/>
      </w:r>
      <w:r>
        <w:rPr>
          <w:rFonts w:ascii="Times New Roman" w:hAnsi="Times New Roman"/>
          <w:sz w:val="24"/>
          <w:szCs w:val="24"/>
        </w:rPr>
        <w:t xml:space="preserve">.  </w:t>
      </w:r>
      <w:r w:rsidR="00F0462C">
        <w:rPr>
          <w:rFonts w:ascii="Times New Roman" w:hAnsi="Times New Roman"/>
          <w:sz w:val="24"/>
          <w:szCs w:val="24"/>
        </w:rPr>
        <w:t xml:space="preserve">There is the possibility that </w:t>
      </w:r>
      <w:r w:rsidR="00D25D15">
        <w:rPr>
          <w:rFonts w:ascii="Times New Roman" w:hAnsi="Times New Roman"/>
          <w:sz w:val="24"/>
          <w:szCs w:val="24"/>
        </w:rPr>
        <w:t>an</w:t>
      </w:r>
      <w:r w:rsidR="00F0462C">
        <w:rPr>
          <w:rFonts w:ascii="Times New Roman" w:hAnsi="Times New Roman"/>
          <w:sz w:val="24"/>
          <w:szCs w:val="24"/>
        </w:rPr>
        <w:t xml:space="preserve"> allele is detected, however, there is a silencing effect present and the antigen is not expressed on the red blood cell.  </w:t>
      </w:r>
      <w:r w:rsidR="00BC33C6">
        <w:rPr>
          <w:rFonts w:ascii="Times New Roman" w:hAnsi="Times New Roman"/>
          <w:sz w:val="24"/>
          <w:szCs w:val="24"/>
        </w:rPr>
        <w:t xml:space="preserve">Another limitation is that these methods can take hours to </w:t>
      </w:r>
      <w:r w:rsidR="00D25D15">
        <w:rPr>
          <w:rFonts w:ascii="Times New Roman" w:hAnsi="Times New Roman"/>
          <w:sz w:val="24"/>
          <w:szCs w:val="24"/>
        </w:rPr>
        <w:t>complete</w:t>
      </w:r>
      <w:r w:rsidR="00BC33C6">
        <w:rPr>
          <w:rFonts w:ascii="Times New Roman" w:hAnsi="Times New Roman"/>
          <w:sz w:val="24"/>
          <w:szCs w:val="24"/>
        </w:rPr>
        <w:t>, making them unsuitable for any STAT tests.  It is also unlikely that all alleles in all ethnic populations have been identified</w:t>
      </w:r>
      <w:r w:rsidR="00236979">
        <w:rPr>
          <w:rFonts w:ascii="Times New Roman" w:hAnsi="Times New Roman"/>
          <w:sz w:val="24"/>
          <w:szCs w:val="24"/>
        </w:rPr>
        <w:t xml:space="preserve"> (Reid 2009)</w:t>
      </w:r>
      <w:r w:rsidR="00BC33C6">
        <w:rPr>
          <w:rFonts w:ascii="Times New Roman" w:hAnsi="Times New Roman"/>
          <w:sz w:val="24"/>
          <w:szCs w:val="24"/>
        </w:rPr>
        <w:t xml:space="preserve">.  Many alleles may give rise to a single phenotype, especially in </w:t>
      </w:r>
      <w:r w:rsidR="00DF6FB6">
        <w:rPr>
          <w:rFonts w:ascii="Times New Roman" w:hAnsi="Times New Roman"/>
          <w:sz w:val="24"/>
          <w:szCs w:val="24"/>
        </w:rPr>
        <w:t xml:space="preserve">ABO, Rh, and </w:t>
      </w:r>
      <w:r w:rsidR="00BC33C6">
        <w:rPr>
          <w:rFonts w:ascii="Times New Roman" w:hAnsi="Times New Roman"/>
          <w:sz w:val="24"/>
          <w:szCs w:val="24"/>
        </w:rPr>
        <w:t>null phenotypes, and it may be impractical to test for all of them</w:t>
      </w:r>
      <w:r w:rsidR="005A59E5">
        <w:rPr>
          <w:rFonts w:ascii="Times New Roman" w:hAnsi="Times New Roman"/>
          <w:sz w:val="24"/>
          <w:szCs w:val="24"/>
        </w:rPr>
        <w:t xml:space="preserve"> </w:t>
      </w:r>
      <w:r w:rsidR="005A59E5" w:rsidRPr="005A59E5">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5A59E5" w:rsidRPr="005A59E5">
        <w:rPr>
          <w:rFonts w:ascii="Times New Roman" w:hAnsi="Times New Roman"/>
          <w:sz w:val="24"/>
          <w:szCs w:val="24"/>
        </w:rPr>
        <w:instrText xml:space="preserve"> ADDIN EN.CITE </w:instrText>
      </w:r>
      <w:r w:rsidR="005A59E5" w:rsidRPr="005A59E5">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5A59E5" w:rsidRPr="005A59E5">
        <w:rPr>
          <w:rFonts w:ascii="Times New Roman" w:hAnsi="Times New Roman"/>
          <w:sz w:val="24"/>
          <w:szCs w:val="24"/>
        </w:rPr>
        <w:instrText xml:space="preserve"> ADDIN EN.CITE.DATA </w:instrText>
      </w:r>
      <w:r w:rsidR="005A59E5" w:rsidRPr="005A59E5">
        <w:rPr>
          <w:rFonts w:ascii="Times New Roman" w:hAnsi="Times New Roman"/>
          <w:sz w:val="24"/>
          <w:szCs w:val="24"/>
        </w:rPr>
      </w:r>
      <w:r w:rsidR="005A59E5" w:rsidRPr="005A59E5">
        <w:rPr>
          <w:rFonts w:ascii="Times New Roman" w:hAnsi="Times New Roman"/>
          <w:sz w:val="24"/>
          <w:szCs w:val="24"/>
        </w:rPr>
        <w:fldChar w:fldCharType="end"/>
      </w:r>
      <w:r w:rsidR="005A59E5" w:rsidRPr="005A59E5">
        <w:rPr>
          <w:rFonts w:ascii="Times New Roman" w:hAnsi="Times New Roman"/>
          <w:sz w:val="24"/>
          <w:szCs w:val="24"/>
        </w:rPr>
      </w:r>
      <w:r w:rsidR="005A59E5" w:rsidRPr="005A59E5">
        <w:rPr>
          <w:rFonts w:ascii="Times New Roman" w:hAnsi="Times New Roman"/>
          <w:sz w:val="24"/>
          <w:szCs w:val="24"/>
        </w:rPr>
        <w:fldChar w:fldCharType="separate"/>
      </w:r>
      <w:r w:rsidR="005A59E5" w:rsidRPr="005A59E5">
        <w:rPr>
          <w:rFonts w:ascii="Times New Roman" w:hAnsi="Times New Roman"/>
          <w:sz w:val="24"/>
          <w:szCs w:val="24"/>
        </w:rPr>
        <w:t>(</w:t>
      </w:r>
      <w:hyperlink w:anchor="_ENREF_4" w:tooltip="Reid, 2011 #21" w:history="1">
        <w:r w:rsidR="005A59E5" w:rsidRPr="005A59E5">
          <w:rPr>
            <w:rFonts w:ascii="Times New Roman" w:hAnsi="Times New Roman"/>
            <w:sz w:val="24"/>
            <w:szCs w:val="24"/>
          </w:rPr>
          <w:t>Reid and Denomme 2011</w:t>
        </w:r>
      </w:hyperlink>
      <w:r w:rsidR="005A59E5" w:rsidRPr="005A59E5">
        <w:rPr>
          <w:rFonts w:ascii="Times New Roman" w:hAnsi="Times New Roman"/>
          <w:sz w:val="24"/>
          <w:szCs w:val="24"/>
        </w:rPr>
        <w:t>)</w:t>
      </w:r>
      <w:r w:rsidR="005A59E5" w:rsidRPr="005A59E5">
        <w:rPr>
          <w:rFonts w:ascii="Times New Roman" w:hAnsi="Times New Roman"/>
          <w:sz w:val="24"/>
          <w:szCs w:val="24"/>
        </w:rPr>
        <w:fldChar w:fldCharType="end"/>
      </w:r>
      <w:r w:rsidR="00BC33C6">
        <w:rPr>
          <w:rFonts w:ascii="Times New Roman" w:hAnsi="Times New Roman"/>
          <w:sz w:val="24"/>
          <w:szCs w:val="24"/>
        </w:rPr>
        <w:t xml:space="preserve">.  If a patient is heterozygous for an antigen, it is possible that one allele will be preferentially amplified during PCR.  Hybrid alleles, such as those that may occur in the MNS or Rh systems, may </w:t>
      </w:r>
      <w:r w:rsidR="00D25D15">
        <w:rPr>
          <w:rFonts w:ascii="Times New Roman" w:hAnsi="Times New Roman"/>
          <w:sz w:val="24"/>
          <w:szCs w:val="24"/>
        </w:rPr>
        <w:t>produce</w:t>
      </w:r>
      <w:r w:rsidR="00BC33C6">
        <w:rPr>
          <w:rFonts w:ascii="Times New Roman" w:hAnsi="Times New Roman"/>
          <w:sz w:val="24"/>
          <w:szCs w:val="24"/>
        </w:rPr>
        <w:t xml:space="preserve"> inaccurate results</w:t>
      </w:r>
      <w:r w:rsidR="005A59E5">
        <w:rPr>
          <w:rFonts w:ascii="Times New Roman" w:hAnsi="Times New Roman"/>
          <w:sz w:val="24"/>
          <w:szCs w:val="24"/>
        </w:rPr>
        <w:t xml:space="preserve"> </w:t>
      </w:r>
      <w:r w:rsidR="005A59E5" w:rsidRPr="005A59E5">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5A59E5" w:rsidRPr="005A59E5">
        <w:rPr>
          <w:rFonts w:ascii="Times New Roman" w:hAnsi="Times New Roman"/>
          <w:sz w:val="24"/>
          <w:szCs w:val="24"/>
        </w:rPr>
        <w:instrText xml:space="preserve"> ADDIN EN.CITE </w:instrText>
      </w:r>
      <w:r w:rsidR="005A59E5" w:rsidRPr="005A59E5">
        <w:rPr>
          <w:rFonts w:ascii="Times New Roman" w:hAnsi="Times New Roman"/>
          <w:sz w:val="24"/>
          <w:szCs w:val="24"/>
        </w:rPr>
        <w:fldChar w:fldCharType="begin">
          <w:fldData xml:space="preserve">PEVuZE5vdGU+PENpdGU+PEF1dGhvcj5SZWlkPC9BdXRob3I+PFllYXI+MjAxMTwvWWVhcj48UmVj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</w:fldData>
        </w:fldChar>
      </w:r>
      <w:r w:rsidR="005A59E5" w:rsidRPr="005A59E5">
        <w:rPr>
          <w:rFonts w:ascii="Times New Roman" w:hAnsi="Times New Roman"/>
          <w:sz w:val="24"/>
          <w:szCs w:val="24"/>
        </w:rPr>
        <w:instrText xml:space="preserve"> ADDIN EN.CITE.DATA </w:instrText>
      </w:r>
      <w:r w:rsidR="005A59E5" w:rsidRPr="005A59E5">
        <w:rPr>
          <w:rFonts w:ascii="Times New Roman" w:hAnsi="Times New Roman"/>
          <w:sz w:val="24"/>
          <w:szCs w:val="24"/>
        </w:rPr>
      </w:r>
      <w:r w:rsidR="005A59E5" w:rsidRPr="005A59E5">
        <w:rPr>
          <w:rFonts w:ascii="Times New Roman" w:hAnsi="Times New Roman"/>
          <w:sz w:val="24"/>
          <w:szCs w:val="24"/>
        </w:rPr>
        <w:fldChar w:fldCharType="end"/>
      </w:r>
      <w:r w:rsidR="005A59E5" w:rsidRPr="005A59E5">
        <w:rPr>
          <w:rFonts w:ascii="Times New Roman" w:hAnsi="Times New Roman"/>
          <w:sz w:val="24"/>
          <w:szCs w:val="24"/>
        </w:rPr>
      </w:r>
      <w:r w:rsidR="005A59E5" w:rsidRPr="005A59E5">
        <w:rPr>
          <w:rFonts w:ascii="Times New Roman" w:hAnsi="Times New Roman"/>
          <w:sz w:val="24"/>
          <w:szCs w:val="24"/>
        </w:rPr>
        <w:fldChar w:fldCharType="separate"/>
      </w:r>
      <w:r w:rsidR="005A59E5" w:rsidRPr="005A59E5">
        <w:rPr>
          <w:rFonts w:ascii="Times New Roman" w:hAnsi="Times New Roman"/>
          <w:sz w:val="24"/>
          <w:szCs w:val="24"/>
        </w:rPr>
        <w:t>(</w:t>
      </w:r>
      <w:hyperlink w:anchor="_ENREF_4" w:tooltip="Reid, 2011 #21" w:history="1">
        <w:r w:rsidR="005A59E5" w:rsidRPr="005A59E5">
          <w:rPr>
            <w:rFonts w:ascii="Times New Roman" w:hAnsi="Times New Roman"/>
            <w:sz w:val="24"/>
            <w:szCs w:val="24"/>
          </w:rPr>
          <w:t>Reid and Denomme 2011</w:t>
        </w:r>
      </w:hyperlink>
      <w:r w:rsidR="005A59E5" w:rsidRPr="005A59E5">
        <w:rPr>
          <w:rFonts w:ascii="Times New Roman" w:hAnsi="Times New Roman"/>
          <w:sz w:val="24"/>
          <w:szCs w:val="24"/>
        </w:rPr>
        <w:t>)</w:t>
      </w:r>
      <w:r w:rsidR="005A59E5" w:rsidRPr="005A59E5">
        <w:rPr>
          <w:rFonts w:ascii="Times New Roman" w:hAnsi="Times New Roman"/>
          <w:sz w:val="24"/>
          <w:szCs w:val="24"/>
        </w:rPr>
        <w:fldChar w:fldCharType="end"/>
      </w:r>
      <w:r w:rsidR="00BC33C6">
        <w:rPr>
          <w:rFonts w:ascii="Times New Roman" w:hAnsi="Times New Roman"/>
          <w:sz w:val="24"/>
          <w:szCs w:val="24"/>
        </w:rPr>
        <w:t>.</w:t>
      </w:r>
      <w:r w:rsidR="00F0462C">
        <w:rPr>
          <w:rFonts w:ascii="Times New Roman" w:hAnsi="Times New Roman"/>
          <w:sz w:val="24"/>
          <w:szCs w:val="24"/>
        </w:rPr>
        <w:t xml:space="preserve">  There may be instances in which an allele is not detected due to a </w:t>
      </w:r>
      <w:r w:rsidR="005A59E5">
        <w:rPr>
          <w:rFonts w:ascii="Times New Roman" w:hAnsi="Times New Roman"/>
          <w:sz w:val="24"/>
          <w:szCs w:val="24"/>
        </w:rPr>
        <w:t>mutatio</w:t>
      </w:r>
      <w:r w:rsidR="00F0462C">
        <w:rPr>
          <w:rFonts w:ascii="Times New Roman" w:hAnsi="Times New Roman"/>
          <w:sz w:val="24"/>
          <w:szCs w:val="24"/>
        </w:rPr>
        <w:t xml:space="preserve">n, yet the antigen is still </w:t>
      </w:r>
      <w:r w:rsidR="00DF6FB6">
        <w:rPr>
          <w:rFonts w:ascii="Times New Roman" w:hAnsi="Times New Roman"/>
          <w:sz w:val="24"/>
          <w:szCs w:val="24"/>
        </w:rPr>
        <w:t>expressed on the red blood cell.  The molecular basis of several antigens is not known</w:t>
      </w:r>
      <w:r w:rsidR="00D25D15">
        <w:rPr>
          <w:rFonts w:ascii="Times New Roman" w:hAnsi="Times New Roman"/>
          <w:sz w:val="24"/>
          <w:szCs w:val="24"/>
        </w:rPr>
        <w:t>, including</w:t>
      </w:r>
      <w:r w:rsidR="00DF6FB6">
        <w:rPr>
          <w:rFonts w:ascii="Times New Roman" w:hAnsi="Times New Roman"/>
          <w:sz w:val="24"/>
          <w:szCs w:val="24"/>
        </w:rPr>
        <w:t xml:space="preserve"> Vel, Lan, Jr</w:t>
      </w:r>
      <w:r w:rsidR="00DF6FB6">
        <w:rPr>
          <w:rFonts w:ascii="Times New Roman" w:hAnsi="Times New Roman"/>
          <w:sz w:val="24"/>
          <w:szCs w:val="24"/>
          <w:vertAlign w:val="superscript"/>
        </w:rPr>
        <w:t>a</w:t>
      </w:r>
      <w:r w:rsidR="00DF6FB6">
        <w:rPr>
          <w:rFonts w:ascii="Times New Roman" w:hAnsi="Times New Roman"/>
          <w:sz w:val="24"/>
          <w:szCs w:val="24"/>
        </w:rPr>
        <w:t>, At</w:t>
      </w:r>
      <w:r w:rsidR="00DF6FB6">
        <w:rPr>
          <w:rFonts w:ascii="Times New Roman" w:hAnsi="Times New Roman"/>
          <w:sz w:val="24"/>
          <w:szCs w:val="24"/>
          <w:vertAlign w:val="superscript"/>
        </w:rPr>
        <w:t>a</w:t>
      </w:r>
      <w:r w:rsidR="00DF6FB6">
        <w:rPr>
          <w:rFonts w:ascii="Times New Roman" w:hAnsi="Times New Roman"/>
          <w:sz w:val="24"/>
          <w:szCs w:val="24"/>
        </w:rPr>
        <w:t>, MAM, and AnWj</w:t>
      </w:r>
      <w:r w:rsidR="00191C4B">
        <w:rPr>
          <w:rFonts w:ascii="Times New Roman" w:hAnsi="Times New Roman"/>
          <w:sz w:val="24"/>
          <w:szCs w:val="24"/>
        </w:rPr>
        <w:t xml:space="preserve"> </w:t>
      </w:r>
      <w:r w:rsidR="00191C4B">
        <w:rPr>
          <w:rFonts w:ascii="Times New Roman" w:hAnsi="Times New Roman"/>
          <w:sz w:val="24"/>
          <w:szCs w:val="24"/>
        </w:rPr>
        <w:fldChar w:fldCharType="begin"/>
      </w:r>
      <w:r w:rsidR="00191C4B">
        <w:rPr>
          <w:rFonts w:ascii="Times New Roman" w:hAnsi="Times New Roman"/>
          <w:sz w:val="24"/>
          <w:szCs w:val="24"/>
        </w:rPr>
        <w:instrText xml:space="preserve"> ADDIN EN.CITE &lt;EndNote&gt;&lt;Cite&gt;&lt;Author&gt;Anstee&lt;/Author&gt;&lt;Year&gt;2009&lt;/Year&gt;&lt;RecNum&gt;22&lt;/RecNum&gt;&lt;DisplayText&gt;(Anstee 2009)&lt;/DisplayText&gt;&lt;record&gt;&lt;rec-number&gt;22&lt;/rec-number&gt;&lt;foreign-keys&gt;&lt;key app="EN" db-id="rv2xa05wjrv2ejee22ovfvfc9wv2fzet9vf2"&gt;22&lt;/key&gt;&lt;/foreign-keys&gt;&lt;ref-type name="Journal Article"&gt;17&lt;/ref-type&gt;&lt;contributors&gt;&lt;authors&gt;&lt;author&gt;Anstee, David J.&lt;/author&gt;&lt;/authors&gt;&lt;/contributors&gt;&lt;titles&gt;&lt;title&gt;Red cell genotyping and the future of pretransfusion testing&lt;/title&gt;&lt;secondary-title&gt;Blood&lt;/secondary-title&gt;&lt;/titles&gt;&lt;periodical&gt;&lt;full-title&gt;Blood&lt;/full-title&gt;&lt;/periodical&gt;&lt;pages&gt;248-256&lt;/pages&gt;&lt;volume&gt;114&lt;/volume&gt;&lt;number&gt;2&lt;/number&gt;&lt;dates&gt;&lt;year&gt;2009&lt;/year&gt;&lt;pub-dates&gt;&lt;date&gt;July 9, 2009&lt;/date&gt;&lt;/pub-dates&gt;&lt;/dates&gt;&lt;urls&gt;&lt;related-urls&gt;&lt;url&gt;http://bloodjournal.hematologylibrary.org/content/114/2/248.abstract&lt;/url&gt;&lt;/related-urls&gt;&lt;/urls&gt;&lt;electronic-resource-num&gt;10.1182/blood-2008-11-146860&lt;/electronic-resource-num&gt;&lt;/record&gt;&lt;/Cite&gt;&lt;/EndNote&gt;</w:instrText>
      </w:r>
      <w:r w:rsidR="00191C4B">
        <w:rPr>
          <w:rFonts w:ascii="Times New Roman" w:hAnsi="Times New Roman"/>
          <w:sz w:val="24"/>
          <w:szCs w:val="24"/>
        </w:rPr>
        <w:fldChar w:fldCharType="separate"/>
      </w:r>
      <w:r w:rsidR="00191C4B">
        <w:rPr>
          <w:rFonts w:ascii="Times New Roman" w:hAnsi="Times New Roman"/>
          <w:noProof/>
          <w:sz w:val="24"/>
          <w:szCs w:val="24"/>
        </w:rPr>
        <w:t>(</w:t>
      </w:r>
      <w:hyperlink w:anchor="_ENREF_1" w:tooltip="Anstee, 2009 #22" w:history="1">
        <w:r w:rsidR="005A59E5">
          <w:rPr>
            <w:rFonts w:ascii="Times New Roman" w:hAnsi="Times New Roman"/>
            <w:noProof/>
            <w:sz w:val="24"/>
            <w:szCs w:val="24"/>
          </w:rPr>
          <w:t>Anstee 2009</w:t>
        </w:r>
      </w:hyperlink>
      <w:r w:rsidR="00191C4B">
        <w:rPr>
          <w:rFonts w:ascii="Times New Roman" w:hAnsi="Times New Roman"/>
          <w:noProof/>
          <w:sz w:val="24"/>
          <w:szCs w:val="24"/>
        </w:rPr>
        <w:t>)</w:t>
      </w:r>
      <w:r w:rsidR="00191C4B">
        <w:rPr>
          <w:rFonts w:ascii="Times New Roman" w:hAnsi="Times New Roman"/>
          <w:sz w:val="24"/>
          <w:szCs w:val="24"/>
        </w:rPr>
        <w:fldChar w:fldCharType="end"/>
      </w:r>
      <w:r w:rsidR="00DF6FB6">
        <w:rPr>
          <w:rFonts w:ascii="Times New Roman" w:hAnsi="Times New Roman"/>
          <w:sz w:val="24"/>
          <w:szCs w:val="24"/>
        </w:rPr>
        <w:t>.  Antibodies to these antigens are rare, but clinically significant</w:t>
      </w:r>
      <w:r w:rsidR="00C70AE0">
        <w:rPr>
          <w:rFonts w:ascii="Times New Roman" w:hAnsi="Times New Roman"/>
          <w:sz w:val="24"/>
          <w:szCs w:val="24"/>
        </w:rPr>
        <w:t>;</w:t>
      </w:r>
      <w:r w:rsidR="00DF6FB6">
        <w:rPr>
          <w:rFonts w:ascii="Times New Roman" w:hAnsi="Times New Roman"/>
          <w:sz w:val="24"/>
          <w:szCs w:val="24"/>
        </w:rPr>
        <w:t xml:space="preserve"> </w:t>
      </w:r>
      <w:r w:rsidR="00C70AE0">
        <w:rPr>
          <w:rFonts w:ascii="Times New Roman" w:hAnsi="Times New Roman"/>
          <w:sz w:val="24"/>
          <w:szCs w:val="24"/>
        </w:rPr>
        <w:t>therefore they</w:t>
      </w:r>
      <w:r w:rsidR="00DF6FB6">
        <w:rPr>
          <w:rFonts w:ascii="Times New Roman" w:hAnsi="Times New Roman"/>
          <w:sz w:val="24"/>
          <w:szCs w:val="24"/>
        </w:rPr>
        <w:t xml:space="preserve"> can cause</w:t>
      </w:r>
      <w:r w:rsidR="00C70AE0">
        <w:rPr>
          <w:rFonts w:ascii="Times New Roman" w:hAnsi="Times New Roman"/>
          <w:sz w:val="24"/>
          <w:szCs w:val="24"/>
        </w:rPr>
        <w:t xml:space="preserve"> severe hemolytic transfusion reactions and HDFN.</w:t>
      </w:r>
      <w:r w:rsidR="00DF6FB6">
        <w:rPr>
          <w:rFonts w:ascii="Times New Roman" w:hAnsi="Times New Roman"/>
          <w:sz w:val="24"/>
          <w:szCs w:val="24"/>
        </w:rPr>
        <w:t xml:space="preserve"> </w:t>
      </w:r>
      <w:r w:rsidR="00C06E93">
        <w:rPr>
          <w:rFonts w:ascii="Times New Roman" w:hAnsi="Times New Roman"/>
          <w:sz w:val="24"/>
          <w:szCs w:val="24"/>
        </w:rPr>
        <w:t xml:space="preserve"> Currently, there are no molecular methods that are </w:t>
      </w:r>
      <w:r w:rsidR="00DF6FB6">
        <w:rPr>
          <w:rFonts w:ascii="Times New Roman" w:hAnsi="Times New Roman"/>
          <w:sz w:val="24"/>
          <w:szCs w:val="24"/>
        </w:rPr>
        <w:t xml:space="preserve">US </w:t>
      </w:r>
      <w:r w:rsidR="00C06E93">
        <w:rPr>
          <w:rFonts w:ascii="Times New Roman" w:hAnsi="Times New Roman"/>
          <w:sz w:val="24"/>
          <w:szCs w:val="24"/>
        </w:rPr>
        <w:t>FDA-approved for red blood cell genotyping</w:t>
      </w:r>
      <w:r w:rsidR="00DF6FB6">
        <w:rPr>
          <w:rFonts w:ascii="Times New Roman" w:hAnsi="Times New Roman"/>
          <w:sz w:val="24"/>
          <w:szCs w:val="24"/>
        </w:rPr>
        <w:t xml:space="preserve">, and many of the available commercial kits are sold for research </w:t>
      </w:r>
      <w:r w:rsidR="00C70AE0">
        <w:rPr>
          <w:rFonts w:ascii="Times New Roman" w:hAnsi="Times New Roman"/>
          <w:sz w:val="24"/>
          <w:szCs w:val="24"/>
        </w:rPr>
        <w:t>purposes only</w:t>
      </w:r>
      <w:r w:rsidR="00D25D15">
        <w:rPr>
          <w:rFonts w:ascii="Times New Roman" w:hAnsi="Times New Roman"/>
          <w:sz w:val="24"/>
          <w:szCs w:val="24"/>
        </w:rPr>
        <w:t xml:space="preserve"> </w:t>
      </w:r>
      <w:r w:rsidR="00D25D15">
        <w:rPr>
          <w:rFonts w:ascii="Times New Roman" w:hAnsi="Times New Roman"/>
          <w:sz w:val="24"/>
          <w:szCs w:val="24"/>
        </w:rPr>
        <w:fldChar w:fldCharType="begin"/>
      </w:r>
      <w:r w:rsidR="00D25D15">
        <w:rPr>
          <w:rFonts w:ascii="Times New Roman" w:hAnsi="Times New Roman"/>
          <w:sz w:val="24"/>
          <w:szCs w:val="24"/>
        </w:rPr>
        <w:instrText xml:space="preserve"> ADDIN EN.CITE &lt;EndNote&gt;&lt;Cite&gt;&lt;Author&gt;Moulds&lt;/Author&gt;&lt;Year&gt;2010&lt;/Year&gt;&lt;RecNum&gt;17&lt;/RecNum&gt;&lt;DisplayText&gt;(Moulds 2010)&lt;/DisplayText&gt;&lt;record&gt;&lt;rec-number&gt;17&lt;/rec-number&gt;&lt;foreign-keys&gt;&lt;key app="EN" db-id="rv2xa05wjrv2ejee22ovfvfc9wv2fzet9vf2"&gt;17&lt;/key&gt;&lt;/foreign-keys&gt;&lt;ref-type name="Journal Article"&gt;17&lt;/ref-type&gt;&lt;contributors&gt;&lt;authors&gt;&lt;author&gt;Moulds, J. M.&lt;/author&gt;&lt;/authors&gt;&lt;/contributors&gt;&lt;auth-address&gt;Clinical Immunogenetics, LifeShare Blood Centers, 8910 Linwood Avenue, Shreveport, LA 71106, USA. jmmoulds@lifeshare.org&lt;/auth-address&gt;&lt;titles&gt;&lt;title&gt;Future of molecular testing for red blood cell antigens&lt;/title&gt;&lt;secondary-title&gt;Clinics in Laboratory Medicine&lt;/secondary-title&gt;&lt;/titles&gt;&lt;periodical&gt;&lt;full-title&gt;Clinics in Laboratory Medicine&lt;/full-title&gt;&lt;/periodical&gt;&lt;pages&gt;419-429&lt;/pages&gt;&lt;volume&gt;30&lt;/volume&gt;&lt;number&gt;2&lt;/number&gt;&lt;keywords&gt;&lt;keyword&gt;Antigens -- Analysis&lt;/keyword&gt;&lt;keyword&gt;Blood Groups&lt;/keyword&gt;&lt;keyword&gt;Genetic Techniques&lt;/keyword&gt;&lt;keyword&gt;Genotype&lt;/keyword&gt;&lt;keyword&gt;Polymorphism, Genetic&lt;/keyword&gt;&lt;keyword&gt;Biochips&lt;/keyword&gt;&lt;keyword&gt;Blood Donors&lt;/keyword&gt;&lt;keyword&gt;Blood Transfusion&lt;/keyword&gt;&lt;keyword&gt;Health Screening&lt;/keyword&gt;&lt;keyword&gt;Polymerase Chain Reaction&lt;/keyword&gt;&lt;/keywords&gt;&lt;dates&gt;&lt;year&gt;2010&lt;/year&gt;&lt;/dates&gt;&lt;isbn&gt;0272-2712&lt;/isbn&gt;&lt;accession-num&gt;2010713795. Language: English. Entry Date: 20101001. Revision Date: 20110520. Publication Type: journal article&lt;/accession-num&gt;&lt;urls&gt;&lt;related-urls&gt;&lt;url&gt;http://search.ebscohost.com/login.aspx?direct=true&amp;amp;db=rzh&amp;amp;AN=2010713795&amp;amp;site=ehost-live&lt;/url&gt;&lt;url&gt;http://www.sciencedirect.com/science/article/pii/S0272271210000107&lt;/url&gt;&lt;/related-urls&gt;&lt;/urls&gt;&lt;electronic-resource-num&gt;10.1016/j.cll.2010.02.004&lt;/electronic-resource-num&gt;&lt;remote-database-name&gt;rzh&lt;/remote-database-name&gt;&lt;remote-database-provider&gt;EBSCOhost&lt;/remote-database-provider&gt;&lt;/record&gt;&lt;/Cite&gt;&lt;/EndNote&gt;</w:instrText>
      </w:r>
      <w:r w:rsidR="00D25D15">
        <w:rPr>
          <w:rFonts w:ascii="Times New Roman" w:hAnsi="Times New Roman"/>
          <w:sz w:val="24"/>
          <w:szCs w:val="24"/>
        </w:rPr>
        <w:fldChar w:fldCharType="separate"/>
      </w:r>
      <w:r w:rsidR="00D25D15">
        <w:rPr>
          <w:rFonts w:ascii="Times New Roman" w:hAnsi="Times New Roman"/>
          <w:noProof/>
          <w:sz w:val="24"/>
          <w:szCs w:val="24"/>
        </w:rPr>
        <w:t>(</w:t>
      </w:r>
      <w:hyperlink w:anchor="_ENREF_2" w:tooltip="Moulds, 2010 #17" w:history="1">
        <w:r w:rsidR="005A59E5">
          <w:rPr>
            <w:rFonts w:ascii="Times New Roman" w:hAnsi="Times New Roman"/>
            <w:noProof/>
            <w:sz w:val="24"/>
            <w:szCs w:val="24"/>
          </w:rPr>
          <w:t>Moulds 2010</w:t>
        </w:r>
      </w:hyperlink>
      <w:r w:rsidR="00D25D15">
        <w:rPr>
          <w:rFonts w:ascii="Times New Roman" w:hAnsi="Times New Roman"/>
          <w:noProof/>
          <w:sz w:val="24"/>
          <w:szCs w:val="24"/>
        </w:rPr>
        <w:t>)</w:t>
      </w:r>
      <w:r w:rsidR="00D25D15">
        <w:rPr>
          <w:rFonts w:ascii="Times New Roman" w:hAnsi="Times New Roman"/>
          <w:sz w:val="24"/>
          <w:szCs w:val="24"/>
        </w:rPr>
        <w:fldChar w:fldCharType="end"/>
      </w:r>
      <w:r w:rsidR="00C70AE0">
        <w:rPr>
          <w:rFonts w:ascii="Times New Roman" w:hAnsi="Times New Roman"/>
          <w:sz w:val="24"/>
          <w:szCs w:val="24"/>
        </w:rPr>
        <w:t>.</w:t>
      </w:r>
    </w:p>
    <w:p w:rsidR="00A06E0D" w:rsidRDefault="009431C9" w:rsidP="005A59E5">
      <w:pPr>
        <w:spacing w:after="0" w:line="480" w:lineRule="auto"/>
        <w:ind w:firstLine="720"/>
        <w:rPr>
          <w:rFonts w:ascii="Times New Roman" w:hAnsi="Times New Roman"/>
          <w:sz w:val="24"/>
          <w:szCs w:val="24"/>
        </w:rPr>
      </w:pPr>
      <w:r>
        <w:rPr>
          <w:rFonts w:ascii="Times New Roman" w:hAnsi="Times New Roman"/>
          <w:sz w:val="24"/>
          <w:szCs w:val="24"/>
        </w:rPr>
        <w:t>Traditional hemagglutination methods have served the blood bank well as the gold standard, but have limitations that DNA-based methods can help to overcome.  However, since molecular techniques also have limitations, they will not be able to completely replace hemagglutination, and will instead be used as an adjunct to serological methods.</w:t>
      </w:r>
      <w:r w:rsidR="00AC1AAF">
        <w:rPr>
          <w:rFonts w:ascii="Times New Roman" w:hAnsi="Times New Roman"/>
          <w:sz w:val="24"/>
          <w:szCs w:val="24"/>
        </w:rPr>
        <w:t xml:space="preserve">  Using </w:t>
      </w:r>
      <w:r w:rsidR="00F378C3">
        <w:rPr>
          <w:rFonts w:ascii="Times New Roman" w:hAnsi="Times New Roman"/>
          <w:sz w:val="24"/>
          <w:szCs w:val="24"/>
        </w:rPr>
        <w:t>molecular methods and hemagglutination</w:t>
      </w:r>
      <w:r w:rsidR="00AC1AAF">
        <w:rPr>
          <w:rFonts w:ascii="Times New Roman" w:hAnsi="Times New Roman"/>
          <w:sz w:val="24"/>
          <w:szCs w:val="24"/>
        </w:rPr>
        <w:t xml:space="preserve"> in tandem can offer new approaches to solving complex problems in the blood bank and providing transfusion patients with better care.</w:t>
      </w:r>
    </w:p>
    <w:p w:rsidR="003A5B39" w:rsidRDefault="003A5B39" w:rsidP="00B97995">
      <w:pPr>
        <w:spacing w:line="480" w:lineRule="auto"/>
        <w:rPr>
          <w:rFonts w:ascii="Times New Roman" w:hAnsi="Times New Roman"/>
          <w:sz w:val="24"/>
          <w:szCs w:val="24"/>
        </w:rPr>
      </w:pPr>
    </w:p>
    <w:p w:rsidR="005A59E5" w:rsidRDefault="005A59E5" w:rsidP="00B97995">
      <w:pPr>
        <w:spacing w:line="480" w:lineRule="auto"/>
        <w:rPr>
          <w:rFonts w:ascii="Times New Roman" w:hAnsi="Times New Roman"/>
          <w:sz w:val="24"/>
          <w:szCs w:val="24"/>
        </w:rPr>
      </w:pPr>
    </w:p>
    <w:p w:rsidR="00A06E0D" w:rsidRPr="00236979" w:rsidRDefault="00A06E0D" w:rsidP="00196D57">
      <w:pPr>
        <w:spacing w:line="480" w:lineRule="auto"/>
        <w:jc w:val="center"/>
        <w:rPr>
          <w:rFonts w:ascii="Times New Roman" w:hAnsi="Times New Roman"/>
          <w:sz w:val="24"/>
          <w:szCs w:val="24"/>
        </w:rPr>
      </w:pPr>
      <w:r w:rsidRPr="00236979">
        <w:rPr>
          <w:rFonts w:ascii="Times New Roman" w:hAnsi="Times New Roman"/>
          <w:sz w:val="24"/>
          <w:szCs w:val="24"/>
        </w:rPr>
        <w:lastRenderedPageBreak/>
        <w:t>References</w:t>
      </w:r>
    </w:p>
    <w:p w:rsidR="005A59E5" w:rsidRPr="00236979" w:rsidRDefault="00D25D15" w:rsidP="00236979">
      <w:pPr>
        <w:spacing w:line="240" w:lineRule="auto"/>
        <w:rPr>
          <w:rFonts w:ascii="Times New Roman" w:hAnsi="Times New Roman"/>
          <w:noProof/>
          <w:sz w:val="24"/>
          <w:szCs w:val="24"/>
        </w:rPr>
      </w:pPr>
      <w:r w:rsidRPr="00236979">
        <w:rPr>
          <w:rFonts w:ascii="Times New Roman" w:hAnsi="Times New Roman"/>
          <w:sz w:val="24"/>
          <w:szCs w:val="24"/>
        </w:rPr>
        <w:fldChar w:fldCharType="begin"/>
      </w:r>
      <w:r w:rsidRPr="00236979">
        <w:rPr>
          <w:rFonts w:ascii="Times New Roman" w:hAnsi="Times New Roman"/>
          <w:sz w:val="24"/>
          <w:szCs w:val="24"/>
        </w:rPr>
        <w:instrText xml:space="preserve"> ADDIN EN.REFLIST </w:instrText>
      </w:r>
      <w:r w:rsidRPr="00236979">
        <w:rPr>
          <w:rFonts w:ascii="Times New Roman" w:hAnsi="Times New Roman"/>
          <w:sz w:val="24"/>
          <w:szCs w:val="24"/>
        </w:rPr>
        <w:fldChar w:fldCharType="separate"/>
      </w:r>
      <w:bookmarkStart w:id="1" w:name="_ENREF_1"/>
      <w:r w:rsidR="005A59E5" w:rsidRPr="00236979">
        <w:rPr>
          <w:rFonts w:ascii="Times New Roman" w:hAnsi="Times New Roman"/>
          <w:noProof/>
          <w:sz w:val="24"/>
          <w:szCs w:val="24"/>
        </w:rPr>
        <w:t xml:space="preserve">Anstee, D. J. (2009). "Red cell genotyping and the future of pretransfusion testing." </w:t>
      </w:r>
      <w:r w:rsidR="005A59E5" w:rsidRPr="00236979">
        <w:rPr>
          <w:rFonts w:ascii="Times New Roman" w:hAnsi="Times New Roman"/>
          <w:noProof/>
          <w:sz w:val="24"/>
          <w:szCs w:val="24"/>
          <w:u w:val="single"/>
        </w:rPr>
        <w:t>Blood</w:t>
      </w:r>
      <w:r w:rsidR="005A59E5" w:rsidRPr="00236979">
        <w:rPr>
          <w:rFonts w:ascii="Times New Roman" w:hAnsi="Times New Roman"/>
          <w:noProof/>
          <w:sz w:val="24"/>
          <w:szCs w:val="24"/>
        </w:rPr>
        <w:t xml:space="preserve"> </w:t>
      </w:r>
      <w:r w:rsidR="005A59E5" w:rsidRPr="00236979">
        <w:rPr>
          <w:rFonts w:ascii="Times New Roman" w:hAnsi="Times New Roman"/>
          <w:b/>
          <w:noProof/>
          <w:sz w:val="24"/>
          <w:szCs w:val="24"/>
        </w:rPr>
        <w:t>114</w:t>
      </w:r>
      <w:r w:rsidR="005A59E5" w:rsidRPr="00236979">
        <w:rPr>
          <w:rFonts w:ascii="Times New Roman" w:hAnsi="Times New Roman"/>
          <w:noProof/>
          <w:sz w:val="24"/>
          <w:szCs w:val="24"/>
        </w:rPr>
        <w:t>(2): 248-256.</w:t>
      </w:r>
    </w:p>
    <w:bookmarkEnd w:id="1"/>
    <w:p w:rsidR="005A59E5" w:rsidRPr="00236979" w:rsidRDefault="005A59E5" w:rsidP="005A59E5">
      <w:pPr>
        <w:spacing w:after="0" w:line="240" w:lineRule="auto"/>
        <w:rPr>
          <w:rFonts w:ascii="Times New Roman" w:hAnsi="Times New Roman"/>
          <w:noProof/>
          <w:sz w:val="24"/>
          <w:szCs w:val="24"/>
        </w:rPr>
      </w:pPr>
    </w:p>
    <w:p w:rsidR="005A59E5" w:rsidRPr="00236979" w:rsidRDefault="005A59E5" w:rsidP="005A59E5">
      <w:pPr>
        <w:spacing w:line="240" w:lineRule="auto"/>
        <w:rPr>
          <w:rFonts w:ascii="Times New Roman" w:hAnsi="Times New Roman"/>
          <w:noProof/>
          <w:sz w:val="24"/>
          <w:szCs w:val="24"/>
        </w:rPr>
      </w:pPr>
      <w:bookmarkStart w:id="2" w:name="_ENREF_2"/>
      <w:r w:rsidRPr="00236979">
        <w:rPr>
          <w:rFonts w:ascii="Times New Roman" w:hAnsi="Times New Roman"/>
          <w:noProof/>
          <w:sz w:val="24"/>
          <w:szCs w:val="24"/>
        </w:rPr>
        <w:t xml:space="preserve">Moulds, J. M. (2010). "Future of molecular testing for red blood cell antigens." </w:t>
      </w:r>
      <w:r w:rsidRPr="00236979">
        <w:rPr>
          <w:rFonts w:ascii="Times New Roman" w:hAnsi="Times New Roman"/>
          <w:noProof/>
          <w:sz w:val="24"/>
          <w:szCs w:val="24"/>
          <w:u w:val="single"/>
        </w:rPr>
        <w:t>Clinics in Laboratory Medicine</w:t>
      </w:r>
      <w:r w:rsidRPr="00236979">
        <w:rPr>
          <w:rFonts w:ascii="Times New Roman" w:hAnsi="Times New Roman"/>
          <w:noProof/>
          <w:sz w:val="24"/>
          <w:szCs w:val="24"/>
        </w:rPr>
        <w:t xml:space="preserve"> </w:t>
      </w:r>
      <w:r w:rsidRPr="00236979">
        <w:rPr>
          <w:rFonts w:ascii="Times New Roman" w:hAnsi="Times New Roman"/>
          <w:b/>
          <w:noProof/>
          <w:sz w:val="24"/>
          <w:szCs w:val="24"/>
        </w:rPr>
        <w:t>30</w:t>
      </w:r>
      <w:r w:rsidRPr="00236979">
        <w:rPr>
          <w:rFonts w:ascii="Times New Roman" w:hAnsi="Times New Roman"/>
          <w:noProof/>
          <w:sz w:val="24"/>
          <w:szCs w:val="24"/>
        </w:rPr>
        <w:t>(2): 419-429.</w:t>
      </w:r>
    </w:p>
    <w:bookmarkEnd w:id="2"/>
    <w:p w:rsidR="005A59E5" w:rsidRPr="00236979" w:rsidRDefault="005A59E5" w:rsidP="005A59E5">
      <w:pPr>
        <w:spacing w:after="0" w:line="240" w:lineRule="auto"/>
        <w:rPr>
          <w:rFonts w:ascii="Times New Roman" w:hAnsi="Times New Roman"/>
          <w:noProof/>
          <w:sz w:val="24"/>
          <w:szCs w:val="24"/>
        </w:rPr>
      </w:pPr>
    </w:p>
    <w:p w:rsidR="005A59E5" w:rsidRPr="00236979" w:rsidRDefault="005A59E5" w:rsidP="005A59E5">
      <w:pPr>
        <w:spacing w:line="240" w:lineRule="auto"/>
        <w:rPr>
          <w:rFonts w:ascii="Times New Roman" w:hAnsi="Times New Roman"/>
          <w:noProof/>
          <w:sz w:val="24"/>
          <w:szCs w:val="24"/>
        </w:rPr>
      </w:pPr>
      <w:bookmarkStart w:id="3" w:name="_ENREF_3"/>
      <w:r w:rsidRPr="00236979">
        <w:rPr>
          <w:rFonts w:ascii="Times New Roman" w:hAnsi="Times New Roman"/>
          <w:noProof/>
          <w:sz w:val="24"/>
          <w:szCs w:val="24"/>
        </w:rPr>
        <w:t xml:space="preserve">Reid, M. E. (2009). "Transfusion in the age of molecular diagnostics." </w:t>
      </w:r>
      <w:r w:rsidRPr="00236979">
        <w:rPr>
          <w:rFonts w:ascii="Times New Roman" w:hAnsi="Times New Roman"/>
          <w:noProof/>
          <w:sz w:val="24"/>
          <w:szCs w:val="24"/>
          <w:u w:val="single"/>
        </w:rPr>
        <w:t>Hematology Am Soc Hematol Educ Program</w:t>
      </w:r>
      <w:r w:rsidRPr="00236979">
        <w:rPr>
          <w:rFonts w:ascii="Times New Roman" w:hAnsi="Times New Roman"/>
          <w:noProof/>
          <w:sz w:val="24"/>
          <w:szCs w:val="24"/>
        </w:rPr>
        <w:t>: 171-177.</w:t>
      </w:r>
    </w:p>
    <w:bookmarkEnd w:id="3"/>
    <w:p w:rsidR="005A59E5" w:rsidRPr="00236979" w:rsidRDefault="005A59E5" w:rsidP="005A59E5">
      <w:pPr>
        <w:spacing w:after="0" w:line="240" w:lineRule="auto"/>
        <w:rPr>
          <w:rFonts w:ascii="Times New Roman" w:hAnsi="Times New Roman"/>
          <w:noProof/>
          <w:sz w:val="24"/>
          <w:szCs w:val="24"/>
        </w:rPr>
      </w:pPr>
    </w:p>
    <w:p w:rsidR="005A59E5" w:rsidRPr="00236979" w:rsidRDefault="005A59E5" w:rsidP="005A59E5">
      <w:pPr>
        <w:spacing w:line="240" w:lineRule="auto"/>
        <w:rPr>
          <w:rFonts w:ascii="Times New Roman" w:hAnsi="Times New Roman"/>
          <w:noProof/>
          <w:sz w:val="24"/>
          <w:szCs w:val="24"/>
        </w:rPr>
      </w:pPr>
      <w:bookmarkStart w:id="4" w:name="_ENREF_4"/>
      <w:r w:rsidRPr="00236979">
        <w:rPr>
          <w:rFonts w:ascii="Times New Roman" w:hAnsi="Times New Roman"/>
          <w:noProof/>
          <w:sz w:val="24"/>
          <w:szCs w:val="24"/>
        </w:rPr>
        <w:t xml:space="preserve">Reid, M. E. and G. A. Denomme (2011). "DNA-based methods in the immunohematology reference laboratory." </w:t>
      </w:r>
      <w:r w:rsidRPr="00236979">
        <w:rPr>
          <w:rFonts w:ascii="Times New Roman" w:hAnsi="Times New Roman"/>
          <w:noProof/>
          <w:sz w:val="24"/>
          <w:szCs w:val="24"/>
          <w:u w:val="single"/>
        </w:rPr>
        <w:t>Transfus Apher Sci</w:t>
      </w:r>
      <w:r w:rsidRPr="00236979">
        <w:rPr>
          <w:rFonts w:ascii="Times New Roman" w:hAnsi="Times New Roman"/>
          <w:noProof/>
          <w:sz w:val="24"/>
          <w:szCs w:val="24"/>
        </w:rPr>
        <w:t xml:space="preserve"> </w:t>
      </w:r>
      <w:r w:rsidRPr="00236979">
        <w:rPr>
          <w:rFonts w:ascii="Times New Roman" w:hAnsi="Times New Roman"/>
          <w:b/>
          <w:noProof/>
          <w:sz w:val="24"/>
          <w:szCs w:val="24"/>
        </w:rPr>
        <w:t>44</w:t>
      </w:r>
      <w:r w:rsidRPr="00236979">
        <w:rPr>
          <w:rFonts w:ascii="Times New Roman" w:hAnsi="Times New Roman"/>
          <w:noProof/>
          <w:sz w:val="24"/>
          <w:szCs w:val="24"/>
        </w:rPr>
        <w:t>(1): 65-72.</w:t>
      </w:r>
    </w:p>
    <w:bookmarkEnd w:id="4"/>
    <w:p w:rsidR="005A59E5" w:rsidRPr="00236979" w:rsidRDefault="005A59E5" w:rsidP="005A59E5">
      <w:pPr>
        <w:spacing w:line="240" w:lineRule="auto"/>
        <w:rPr>
          <w:rFonts w:ascii="Times New Roman" w:hAnsi="Times New Roman"/>
          <w:noProof/>
          <w:sz w:val="24"/>
          <w:szCs w:val="24"/>
        </w:rPr>
      </w:pPr>
    </w:p>
    <w:p w:rsidR="005A59E5" w:rsidRPr="00236979" w:rsidRDefault="005A59E5" w:rsidP="005A59E5">
      <w:pPr>
        <w:spacing w:line="240" w:lineRule="auto"/>
        <w:rPr>
          <w:rFonts w:ascii="Times New Roman" w:hAnsi="Times New Roman"/>
          <w:noProof/>
          <w:sz w:val="24"/>
          <w:szCs w:val="24"/>
        </w:rPr>
      </w:pPr>
    </w:p>
    <w:p w:rsidR="00E922D0" w:rsidRPr="00E54136" w:rsidRDefault="00D25D15" w:rsidP="00196D57">
      <w:pPr>
        <w:spacing w:line="480" w:lineRule="auto"/>
        <w:ind w:firstLine="720"/>
        <w:rPr>
          <w:rFonts w:ascii="Times New Roman" w:hAnsi="Times New Roman"/>
          <w:sz w:val="24"/>
          <w:szCs w:val="24"/>
        </w:rPr>
      </w:pPr>
      <w:r w:rsidRPr="00236979">
        <w:rPr>
          <w:rFonts w:ascii="Times New Roman" w:hAnsi="Times New Roman"/>
          <w:sz w:val="24"/>
          <w:szCs w:val="24"/>
        </w:rPr>
        <w:fldChar w:fldCharType="end"/>
      </w:r>
    </w:p>
    <w:sectPr w:rsidR="00E922D0" w:rsidRPr="00E541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C15" w:rsidRDefault="008D2C15" w:rsidP="00A06E0D">
      <w:pPr>
        <w:spacing w:after="0" w:line="240" w:lineRule="auto"/>
      </w:pPr>
      <w:r>
        <w:separator/>
      </w:r>
    </w:p>
  </w:endnote>
  <w:endnote w:type="continuationSeparator" w:id="0">
    <w:p w:rsidR="008D2C15" w:rsidRDefault="008D2C15" w:rsidP="00A06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C15" w:rsidRDefault="008D2C15" w:rsidP="00A06E0D">
      <w:pPr>
        <w:spacing w:after="0" w:line="240" w:lineRule="auto"/>
      </w:pPr>
      <w:r>
        <w:separator/>
      </w:r>
    </w:p>
  </w:footnote>
  <w:footnote w:type="continuationSeparator" w:id="0">
    <w:p w:rsidR="008D2C15" w:rsidRDefault="008D2C15" w:rsidP="00A06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901" w:rsidRDefault="007B0901">
    <w:pPr>
      <w:pStyle w:val="Header"/>
      <w:jc w:val="right"/>
    </w:pPr>
    <w:r>
      <w:t xml:space="preserve">DeLozier </w:t>
    </w:r>
    <w:r>
      <w:fldChar w:fldCharType="begin"/>
    </w:r>
    <w:r>
      <w:instrText xml:space="preserve"> PAGE   \* MERGEFORMAT </w:instrText>
    </w:r>
    <w:r>
      <w:fldChar w:fldCharType="separate"/>
    </w:r>
    <w:r w:rsidR="004B5104">
      <w:rPr>
        <w:noProof/>
      </w:rPr>
      <w:t>1</w:t>
    </w:r>
    <w:r>
      <w:rPr>
        <w:noProof/>
      </w:rPr>
      <w:fldChar w:fldCharType="end"/>
    </w:r>
  </w:p>
  <w:p w:rsidR="007B0901" w:rsidRDefault="007B09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v2xa05wjrv2ejee22ovfvfc9wv2fzet9vf2&quot;&gt;My EndNote Library&lt;record-ids&gt;&lt;item&gt;17&lt;/item&gt;&lt;item&gt;20&lt;/item&gt;&lt;item&gt;21&lt;/item&gt;&lt;item&gt;22&lt;/item&gt;&lt;/record-ids&gt;&lt;/item&gt;&lt;/Libraries&gt;"/>
  </w:docVars>
  <w:rsids>
    <w:rsidRoot w:val="00743BBD"/>
    <w:rsid w:val="000560CC"/>
    <w:rsid w:val="000A2606"/>
    <w:rsid w:val="00142049"/>
    <w:rsid w:val="00151986"/>
    <w:rsid w:val="00153088"/>
    <w:rsid w:val="00191C4B"/>
    <w:rsid w:val="00196D57"/>
    <w:rsid w:val="001D463F"/>
    <w:rsid w:val="00236979"/>
    <w:rsid w:val="0027296E"/>
    <w:rsid w:val="003772AC"/>
    <w:rsid w:val="003A5B39"/>
    <w:rsid w:val="004B5104"/>
    <w:rsid w:val="005169F6"/>
    <w:rsid w:val="005A59E5"/>
    <w:rsid w:val="005D064B"/>
    <w:rsid w:val="0063000E"/>
    <w:rsid w:val="00672D6D"/>
    <w:rsid w:val="00711654"/>
    <w:rsid w:val="007237EB"/>
    <w:rsid w:val="00743BBD"/>
    <w:rsid w:val="0075017C"/>
    <w:rsid w:val="00753E3A"/>
    <w:rsid w:val="00777182"/>
    <w:rsid w:val="007B0901"/>
    <w:rsid w:val="00820F0B"/>
    <w:rsid w:val="00864E22"/>
    <w:rsid w:val="008D2C15"/>
    <w:rsid w:val="00934008"/>
    <w:rsid w:val="009344BA"/>
    <w:rsid w:val="009431C9"/>
    <w:rsid w:val="009546CE"/>
    <w:rsid w:val="00A03FD1"/>
    <w:rsid w:val="00A06E0D"/>
    <w:rsid w:val="00AC1AAF"/>
    <w:rsid w:val="00B558F7"/>
    <w:rsid w:val="00B6321C"/>
    <w:rsid w:val="00B6503E"/>
    <w:rsid w:val="00B8011A"/>
    <w:rsid w:val="00B94C17"/>
    <w:rsid w:val="00B97995"/>
    <w:rsid w:val="00BA2292"/>
    <w:rsid w:val="00BC33C6"/>
    <w:rsid w:val="00BF1A30"/>
    <w:rsid w:val="00C06E93"/>
    <w:rsid w:val="00C11F64"/>
    <w:rsid w:val="00C17EE3"/>
    <w:rsid w:val="00C35431"/>
    <w:rsid w:val="00C70AE0"/>
    <w:rsid w:val="00C94BB6"/>
    <w:rsid w:val="00CA7D0A"/>
    <w:rsid w:val="00D25D15"/>
    <w:rsid w:val="00D46BCC"/>
    <w:rsid w:val="00D53D8A"/>
    <w:rsid w:val="00DE10BA"/>
    <w:rsid w:val="00DF6FB6"/>
    <w:rsid w:val="00E54136"/>
    <w:rsid w:val="00E922D0"/>
    <w:rsid w:val="00E9560C"/>
    <w:rsid w:val="00EB5746"/>
    <w:rsid w:val="00F0462C"/>
    <w:rsid w:val="00F378C3"/>
    <w:rsid w:val="00F64BA5"/>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25D15"/>
    <w:rPr>
      <w:color w:val="0000FF"/>
      <w:u w:val="single"/>
    </w:rPr>
  </w:style>
  <w:style w:type="paragraph" w:styleId="Header">
    <w:name w:val="header"/>
    <w:basedOn w:val="Normal"/>
    <w:link w:val="HeaderChar"/>
    <w:uiPriority w:val="99"/>
    <w:unhideWhenUsed/>
    <w:rsid w:val="00A06E0D"/>
    <w:pPr>
      <w:tabs>
        <w:tab w:val="center" w:pos="4680"/>
        <w:tab w:val="right" w:pos="9360"/>
      </w:tabs>
    </w:pPr>
  </w:style>
  <w:style w:type="character" w:customStyle="1" w:styleId="HeaderChar">
    <w:name w:val="Header Char"/>
    <w:link w:val="Header"/>
    <w:uiPriority w:val="99"/>
    <w:rsid w:val="00A06E0D"/>
    <w:rPr>
      <w:sz w:val="22"/>
      <w:szCs w:val="22"/>
    </w:rPr>
  </w:style>
  <w:style w:type="paragraph" w:styleId="Footer">
    <w:name w:val="footer"/>
    <w:basedOn w:val="Normal"/>
    <w:link w:val="FooterChar"/>
    <w:uiPriority w:val="99"/>
    <w:unhideWhenUsed/>
    <w:rsid w:val="00A06E0D"/>
    <w:pPr>
      <w:tabs>
        <w:tab w:val="center" w:pos="4680"/>
        <w:tab w:val="right" w:pos="9360"/>
      </w:tabs>
    </w:pPr>
  </w:style>
  <w:style w:type="character" w:customStyle="1" w:styleId="FooterChar">
    <w:name w:val="Footer Char"/>
    <w:link w:val="Footer"/>
    <w:uiPriority w:val="99"/>
    <w:rsid w:val="00A06E0D"/>
    <w:rPr>
      <w:sz w:val="22"/>
      <w:szCs w:val="22"/>
    </w:rPr>
  </w:style>
  <w:style w:type="paragraph" w:styleId="BalloonText">
    <w:name w:val="Balloon Text"/>
    <w:basedOn w:val="Normal"/>
    <w:link w:val="BalloonTextChar"/>
    <w:uiPriority w:val="99"/>
    <w:semiHidden/>
    <w:unhideWhenUsed/>
    <w:rsid w:val="00D53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3D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Owner</cp:lastModifiedBy>
  <cp:revision>2</cp:revision>
  <dcterms:created xsi:type="dcterms:W3CDTF">2013-03-12T02:14:00Z</dcterms:created>
  <dcterms:modified xsi:type="dcterms:W3CDTF">2013-03-12T02:14:00Z</dcterms:modified>
</cp:coreProperties>
</file>