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3EF" w:rsidRDefault="004D0B50" w:rsidP="00E043EF">
      <w:pPr>
        <w:spacing w:line="480" w:lineRule="auto"/>
        <w:jc w:val="center"/>
        <w:rPr>
          <w:rFonts w:asciiTheme="minorHAnsi" w:hAnsiTheme="minorHAnsi" w:cstheme="minorHAnsi"/>
          <w:b/>
        </w:rPr>
      </w:pPr>
      <w:bookmarkStart w:id="0" w:name="_GoBack"/>
      <w:bookmarkEnd w:id="0"/>
      <w:r>
        <w:rPr>
          <w:rFonts w:ascii="Tahoma" w:hAnsi="Tahoma"/>
          <w:noProof/>
        </w:rPr>
        <w:drawing>
          <wp:anchor distT="0" distB="0" distL="114300" distR="114300" simplePos="0" relativeHeight="251659264" behindDoc="0" locked="0" layoutInCell="1" allowOverlap="1" wp14:anchorId="0475DA44" wp14:editId="38431FD8">
            <wp:simplePos x="0" y="0"/>
            <wp:positionH relativeFrom="column">
              <wp:posOffset>4875779</wp:posOffset>
            </wp:positionH>
            <wp:positionV relativeFrom="paragraph">
              <wp:posOffset>-413164</wp:posOffset>
            </wp:positionV>
            <wp:extent cx="1345848" cy="1749287"/>
            <wp:effectExtent l="0" t="0" r="6985" b="3810"/>
            <wp:wrapNone/>
            <wp:docPr id="1" name="Picture 1" descr="C:\Users\signmf\AppData\Local\Microsoft\Windows\Temporary Internet Files\Content.IE5\YO22Q275\First_Place_Blue_Ribb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gnmf\AppData\Local\Microsoft\Windows\Temporary Internet Files\Content.IE5\YO22Q275\First_Place_Blue_Ribbon[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5848" cy="1749287"/>
                    </a:xfrm>
                    <a:prstGeom prst="rect">
                      <a:avLst/>
                    </a:prstGeom>
                    <a:noFill/>
                    <a:ln>
                      <a:noFill/>
                    </a:ln>
                  </pic:spPr>
                </pic:pic>
              </a:graphicData>
            </a:graphic>
            <wp14:sizeRelH relativeFrom="page">
              <wp14:pctWidth>0</wp14:pctWidth>
            </wp14:sizeRelH>
            <wp14:sizeRelV relativeFrom="page">
              <wp14:pctHeight>0</wp14:pctHeight>
            </wp14:sizeRelV>
          </wp:anchor>
        </w:drawing>
      </w:r>
      <w:r w:rsidR="00E043EF" w:rsidRPr="00E043EF">
        <w:rPr>
          <w:rFonts w:asciiTheme="minorHAnsi" w:hAnsiTheme="minorHAnsi" w:cstheme="minorHAnsi"/>
          <w:b/>
        </w:rPr>
        <w:t>Pathogen Inactivation Technologies for Blood Components</w:t>
      </w:r>
    </w:p>
    <w:p w:rsidR="004D0B50" w:rsidRDefault="004D0B50" w:rsidP="004D0B50">
      <w:pPr>
        <w:pStyle w:val="FreeForm"/>
        <w:jc w:val="center"/>
        <w:rPr>
          <w:rFonts w:ascii="Tahoma" w:hAnsi="Tahoma"/>
        </w:rPr>
      </w:pPr>
      <w:r>
        <w:rPr>
          <w:rFonts w:ascii="Tahoma" w:hAnsi="Tahoma"/>
        </w:rPr>
        <w:t>Janna Boerger</w:t>
      </w:r>
    </w:p>
    <w:p w:rsidR="004D0B50" w:rsidRDefault="004D0B50" w:rsidP="004D0B50">
      <w:pPr>
        <w:pStyle w:val="FreeForm"/>
        <w:jc w:val="center"/>
        <w:rPr>
          <w:rFonts w:ascii="Tahoma" w:hAnsi="Tahoma"/>
        </w:rPr>
      </w:pPr>
    </w:p>
    <w:p w:rsidR="004D0B50" w:rsidRDefault="004D0B50" w:rsidP="004D0B50">
      <w:pPr>
        <w:pStyle w:val="FreeForm"/>
        <w:jc w:val="center"/>
        <w:rPr>
          <w:rFonts w:ascii="Tahoma" w:hAnsi="Tahoma"/>
        </w:rPr>
      </w:pPr>
      <w:r>
        <w:rPr>
          <w:rFonts w:ascii="Tahoma" w:hAnsi="Tahoma"/>
        </w:rPr>
        <w:t>Mercy Hospital St. Louis</w:t>
      </w:r>
    </w:p>
    <w:p w:rsidR="004D0B50" w:rsidRDefault="004D0B50" w:rsidP="004D0B50">
      <w:pPr>
        <w:pStyle w:val="FreeForm"/>
        <w:jc w:val="center"/>
        <w:rPr>
          <w:rFonts w:ascii="Tahoma" w:hAnsi="Tahoma"/>
        </w:rPr>
      </w:pPr>
      <w:r>
        <w:rPr>
          <w:rFonts w:ascii="Tahoma" w:hAnsi="Tahoma"/>
        </w:rPr>
        <w:t>School of Clinical Laboratory Science</w:t>
      </w:r>
    </w:p>
    <w:p w:rsidR="004D0B50" w:rsidRPr="00E043EF" w:rsidRDefault="004D0B50" w:rsidP="004D0B50">
      <w:pPr>
        <w:spacing w:line="480" w:lineRule="auto"/>
        <w:jc w:val="center"/>
        <w:rPr>
          <w:rFonts w:asciiTheme="minorHAnsi" w:hAnsiTheme="minorHAnsi" w:cstheme="minorHAnsi"/>
          <w:b/>
        </w:rPr>
      </w:pPr>
    </w:p>
    <w:p w:rsidR="00E043EF" w:rsidRPr="00E043EF" w:rsidRDefault="00E043EF" w:rsidP="00E043EF">
      <w:pPr>
        <w:spacing w:line="480" w:lineRule="auto"/>
        <w:ind w:firstLine="720"/>
        <w:rPr>
          <w:rFonts w:asciiTheme="minorHAnsi" w:hAnsiTheme="minorHAnsi" w:cstheme="minorHAnsi"/>
        </w:rPr>
      </w:pPr>
      <w:r w:rsidRPr="00E043EF">
        <w:rPr>
          <w:rFonts w:asciiTheme="minorHAnsi" w:hAnsiTheme="minorHAnsi" w:cstheme="minorHAnsi"/>
        </w:rPr>
        <w:t>Emerging viruses in the last few years like West Nile and Zika have prompted experts in the field of transfusion medicine to be proactive in their search for new devices to detect pathogenic agents prior to transfusion.  The current approach in transfusion safety is reactive not proactive.  Research into Pathogen inactivation (PI) technologies for blood components are the latest attempt to make transfusion components safe.  Some PI technologies for cellular products currently available or in the pipeline are:  INTERCEPT Blood System for platelets and plasma, MIRASOL system, THERAFLEX UV-Platelets and the S-303 PI system for RBC’s.  All PI methods used to treat cellular blood products work by impairing the target pathogen’s ability to replicate. When used alone or in combination, ultraviolet (UV) light and alkylating agents cause irreversible damage to the nucleic acids of pathogens.(2)</w:t>
      </w:r>
    </w:p>
    <w:p w:rsidR="00E043EF" w:rsidRPr="00E043EF" w:rsidRDefault="00E043EF" w:rsidP="00E043EF">
      <w:pPr>
        <w:spacing w:line="480" w:lineRule="auto"/>
        <w:rPr>
          <w:rFonts w:asciiTheme="minorHAnsi" w:hAnsiTheme="minorHAnsi" w:cstheme="minorHAnsi"/>
        </w:rPr>
      </w:pPr>
      <w:r w:rsidRPr="00E043EF">
        <w:rPr>
          <w:rFonts w:asciiTheme="minorHAnsi" w:hAnsiTheme="minorHAnsi" w:cstheme="minorHAnsi"/>
        </w:rPr>
        <w:tab/>
        <w:t xml:space="preserve">The INTERCEPT Blood System utilizes the photoactive compound, amotosalen HCl (S-59).  Amotosalen HCl penetrates the cellular and nuclear membrane then binds to the nucleic acids of the pathogen.  Low-energy UVA light (320–400 nm) is used to activate amotosalen causing cross-linking in pathogen nucleic acids preventing it from replicating. This procedure is not suitable for Red Blood Cell’s.(2)  </w:t>
      </w:r>
    </w:p>
    <w:p w:rsidR="00E043EF" w:rsidRPr="00E043EF" w:rsidRDefault="00E043EF" w:rsidP="00E043EF">
      <w:pPr>
        <w:spacing w:line="480" w:lineRule="auto"/>
        <w:ind w:firstLine="720"/>
        <w:rPr>
          <w:rFonts w:asciiTheme="minorHAnsi" w:hAnsiTheme="minorHAnsi" w:cstheme="minorHAnsi"/>
        </w:rPr>
      </w:pPr>
      <w:r w:rsidRPr="00E043EF">
        <w:rPr>
          <w:rFonts w:asciiTheme="minorHAnsi" w:hAnsiTheme="minorHAnsi" w:cstheme="minorHAnsi"/>
        </w:rPr>
        <w:t xml:space="preserve">The MIRASOL system employs riboflavin (vitamin B2) and UV light (285–365 nm). Activated riboflavin by UV light causes irreversible damage to pathogen nucleic acids.  </w:t>
      </w:r>
      <w:r w:rsidRPr="00E043EF">
        <w:rPr>
          <w:rFonts w:asciiTheme="minorHAnsi" w:hAnsiTheme="minorHAnsi" w:cstheme="minorHAnsi"/>
        </w:rPr>
        <w:lastRenderedPageBreak/>
        <w:t>The current MIRASOL system is used on plasma and platelets but a similar whole blood system is now in development.(2)</w:t>
      </w:r>
    </w:p>
    <w:p w:rsidR="00E043EF" w:rsidRPr="00E043EF" w:rsidRDefault="00E043EF" w:rsidP="00E043EF">
      <w:pPr>
        <w:spacing w:line="480" w:lineRule="auto"/>
        <w:ind w:firstLine="720"/>
        <w:rPr>
          <w:rFonts w:asciiTheme="minorHAnsi" w:hAnsiTheme="minorHAnsi" w:cstheme="minorHAnsi"/>
        </w:rPr>
      </w:pPr>
      <w:r w:rsidRPr="00E043EF">
        <w:rPr>
          <w:rFonts w:asciiTheme="minorHAnsi" w:hAnsiTheme="minorHAnsi" w:cstheme="minorHAnsi"/>
        </w:rPr>
        <w:t>The PI technology, THERAFLEX UV-Platelets uses shortwave UVC light (254 nm) to form pyrimidine dimers that block the elongation of nucleic acid transcripts.  This system takes less than 1 min and can be implemented easily into blood banks nationwide. The THERAFLEX system is also suitable for plasma and RBC units.(2)</w:t>
      </w:r>
    </w:p>
    <w:p w:rsidR="00E043EF" w:rsidRPr="00E043EF" w:rsidRDefault="00E043EF" w:rsidP="00E043EF">
      <w:pPr>
        <w:spacing w:line="480" w:lineRule="auto"/>
        <w:ind w:firstLine="720"/>
        <w:rPr>
          <w:rFonts w:asciiTheme="minorHAnsi" w:hAnsiTheme="minorHAnsi" w:cstheme="minorHAnsi"/>
        </w:rPr>
      </w:pPr>
      <w:r w:rsidRPr="00E043EF">
        <w:rPr>
          <w:rFonts w:asciiTheme="minorHAnsi" w:hAnsiTheme="minorHAnsi" w:cstheme="minorHAnsi"/>
        </w:rPr>
        <w:t>One Pathogenic Inactivation System has been developed for RBC units.  Similar to other PI technologies the S-303 prevents nucleic acid synthesis of pathogenic agents however this PI technology does not require UV light. Several generations of the S-303 have been produced.  Updates and advancements need to be made to prevent negative effects on the RBCs.  During clinical trials of the S-303 some patients developed immunization against the PI RBCs.  More data needs to be collected to understand the cause behind the immune response patients are having in response to the pathogen inactivated RBCs.(2)</w:t>
      </w:r>
    </w:p>
    <w:p w:rsidR="00E043EF" w:rsidRPr="00E043EF" w:rsidRDefault="00E043EF" w:rsidP="00E043EF">
      <w:pPr>
        <w:spacing w:line="480" w:lineRule="auto"/>
        <w:ind w:firstLine="720"/>
        <w:rPr>
          <w:rFonts w:asciiTheme="minorHAnsi" w:hAnsiTheme="minorHAnsi" w:cstheme="minorHAnsi"/>
        </w:rPr>
      </w:pPr>
      <w:r w:rsidRPr="00E043EF">
        <w:rPr>
          <w:rFonts w:asciiTheme="minorHAnsi" w:hAnsiTheme="minorHAnsi" w:cstheme="minorHAnsi"/>
        </w:rPr>
        <w:t xml:space="preserve">The use of INTERCEPT and MIRASOL systems for platelets and plasma has been approved in the USA while both the THERAFLEX system and the S-303 system are still in clinical development.  The </w:t>
      </w:r>
      <w:r w:rsidR="0061541B" w:rsidRPr="00E043EF">
        <w:rPr>
          <w:rFonts w:asciiTheme="minorHAnsi" w:hAnsiTheme="minorHAnsi" w:cstheme="minorHAnsi"/>
        </w:rPr>
        <w:t xml:space="preserve">INTERCEPT Blood System </w:t>
      </w:r>
      <w:r w:rsidRPr="00E043EF">
        <w:rPr>
          <w:rFonts w:asciiTheme="minorHAnsi" w:hAnsiTheme="minorHAnsi" w:cstheme="minorHAnsi"/>
        </w:rPr>
        <w:t xml:space="preserve">has been approved </w:t>
      </w:r>
      <w:r w:rsidR="0061541B" w:rsidRPr="00E043EF">
        <w:rPr>
          <w:rFonts w:asciiTheme="minorHAnsi" w:hAnsiTheme="minorHAnsi" w:cstheme="minorHAnsi"/>
        </w:rPr>
        <w:t>for pathogen reduction of 1) apheresis platelets stored in plasma and platelet additive solution</w:t>
      </w:r>
      <w:r w:rsidRPr="00E043EF">
        <w:rPr>
          <w:rFonts w:asciiTheme="minorHAnsi" w:hAnsiTheme="minorHAnsi" w:cstheme="minorHAnsi"/>
        </w:rPr>
        <w:t xml:space="preserve"> </w:t>
      </w:r>
      <w:r w:rsidR="0061541B" w:rsidRPr="00E043EF">
        <w:rPr>
          <w:rFonts w:asciiTheme="minorHAnsi" w:hAnsiTheme="minorHAnsi" w:cstheme="minorHAnsi"/>
        </w:rPr>
        <w:t>(PAS)</w:t>
      </w:r>
      <w:r w:rsidRPr="00E043EF">
        <w:rPr>
          <w:rFonts w:asciiTheme="minorHAnsi" w:hAnsiTheme="minorHAnsi" w:cstheme="minorHAnsi"/>
        </w:rPr>
        <w:t xml:space="preserve"> </w:t>
      </w:r>
      <w:r w:rsidR="0061541B" w:rsidRPr="00E043EF">
        <w:rPr>
          <w:rFonts w:asciiTheme="minorHAnsi" w:hAnsiTheme="minorHAnsi" w:cstheme="minorHAnsi"/>
        </w:rPr>
        <w:t>and</w:t>
      </w:r>
      <w:r w:rsidRPr="00E043EF">
        <w:rPr>
          <w:rFonts w:asciiTheme="minorHAnsi" w:hAnsiTheme="minorHAnsi" w:cstheme="minorHAnsi"/>
        </w:rPr>
        <w:t xml:space="preserve"> </w:t>
      </w:r>
      <w:r w:rsidR="0061541B" w:rsidRPr="00E043EF">
        <w:rPr>
          <w:rFonts w:asciiTheme="minorHAnsi" w:hAnsiTheme="minorHAnsi" w:cstheme="minorHAnsi"/>
        </w:rPr>
        <w:t>2)</w:t>
      </w:r>
      <w:r w:rsidRPr="00E043EF">
        <w:rPr>
          <w:rFonts w:asciiTheme="minorHAnsi" w:hAnsiTheme="minorHAnsi" w:cstheme="minorHAnsi"/>
        </w:rPr>
        <w:t xml:space="preserve"> </w:t>
      </w:r>
      <w:r w:rsidR="0061541B" w:rsidRPr="00E043EF">
        <w:rPr>
          <w:rFonts w:asciiTheme="minorHAnsi" w:hAnsiTheme="minorHAnsi" w:cstheme="minorHAnsi"/>
        </w:rPr>
        <w:t>plasma</w:t>
      </w:r>
      <w:r w:rsidRPr="00E043EF">
        <w:rPr>
          <w:rFonts w:asciiTheme="minorHAnsi" w:hAnsiTheme="minorHAnsi" w:cstheme="minorHAnsi"/>
        </w:rPr>
        <w:t xml:space="preserve">.  The benefits of using platelets and plasma treated via the INTERCEPT Blood System are three fold: “1) less risk of transfusion-transmitted infections to patients  </w:t>
      </w:r>
      <w:r w:rsidR="0061541B" w:rsidRPr="00E043EF">
        <w:rPr>
          <w:rFonts w:asciiTheme="minorHAnsi" w:hAnsiTheme="minorHAnsi" w:cstheme="minorHAnsi"/>
        </w:rPr>
        <w:t>2) eliminate the need for serologic testing for cytomegalovirus (CMV) and production of</w:t>
      </w:r>
      <w:r w:rsidRPr="00E043EF">
        <w:rPr>
          <w:rFonts w:asciiTheme="minorHAnsi" w:hAnsiTheme="minorHAnsi" w:cstheme="minorHAnsi"/>
        </w:rPr>
        <w:t xml:space="preserve"> </w:t>
      </w:r>
      <w:r w:rsidR="0061541B" w:rsidRPr="00E043EF">
        <w:rPr>
          <w:rFonts w:asciiTheme="minorHAnsi" w:hAnsiTheme="minorHAnsi" w:cstheme="minorHAnsi"/>
        </w:rPr>
        <w:t>CMV-reduced-risk</w:t>
      </w:r>
      <w:r w:rsidRPr="00E043EF">
        <w:rPr>
          <w:rFonts w:asciiTheme="minorHAnsi" w:hAnsiTheme="minorHAnsi" w:cstheme="minorHAnsi"/>
        </w:rPr>
        <w:t xml:space="preserve"> </w:t>
      </w:r>
      <w:r w:rsidR="0061541B" w:rsidRPr="00E043EF">
        <w:rPr>
          <w:rFonts w:asciiTheme="minorHAnsi" w:hAnsiTheme="minorHAnsi" w:cstheme="minorHAnsi"/>
        </w:rPr>
        <w:t>components, and 3) eliminate the need for irradiation to prevent transfusion-associated graft-vs-host</w:t>
      </w:r>
      <w:r w:rsidRPr="00E043EF">
        <w:rPr>
          <w:rFonts w:asciiTheme="minorHAnsi" w:hAnsiTheme="minorHAnsi" w:cstheme="minorHAnsi"/>
        </w:rPr>
        <w:t xml:space="preserve"> </w:t>
      </w:r>
      <w:r w:rsidR="0061541B" w:rsidRPr="00E043EF">
        <w:rPr>
          <w:rFonts w:asciiTheme="minorHAnsi" w:hAnsiTheme="minorHAnsi" w:cstheme="minorHAnsi"/>
        </w:rPr>
        <w:t>disease (TA-GVHD).</w:t>
      </w:r>
      <w:r w:rsidRPr="00E043EF">
        <w:rPr>
          <w:rFonts w:asciiTheme="minorHAnsi" w:hAnsiTheme="minorHAnsi" w:cstheme="minorHAnsi"/>
        </w:rPr>
        <w:t>” (3)</w:t>
      </w:r>
    </w:p>
    <w:p w:rsidR="00E043EF" w:rsidRPr="00E043EF" w:rsidRDefault="00E043EF" w:rsidP="00E043EF">
      <w:pPr>
        <w:spacing w:line="480" w:lineRule="auto"/>
        <w:ind w:firstLine="720"/>
        <w:rPr>
          <w:rFonts w:asciiTheme="minorHAnsi" w:hAnsiTheme="minorHAnsi" w:cstheme="minorHAnsi"/>
        </w:rPr>
      </w:pPr>
      <w:r w:rsidRPr="00E043EF">
        <w:rPr>
          <w:rFonts w:asciiTheme="minorHAnsi" w:hAnsiTheme="minorHAnsi" w:cstheme="minorHAnsi"/>
        </w:rPr>
        <w:lastRenderedPageBreak/>
        <w:t xml:space="preserve">The platelet and plasma treated via the INTERCEPT Blood System has been shown to inactivate pathogens such as </w:t>
      </w:r>
      <w:r w:rsidR="0061541B" w:rsidRPr="00E043EF">
        <w:rPr>
          <w:rFonts w:asciiTheme="minorHAnsi" w:hAnsiTheme="minorHAnsi" w:cstheme="minorHAnsi"/>
        </w:rPr>
        <w:t>human immunodeficiency virus, bacteria</w:t>
      </w:r>
      <w:r w:rsidRPr="00E043EF">
        <w:rPr>
          <w:rFonts w:asciiTheme="minorHAnsi" w:hAnsiTheme="minorHAnsi" w:cstheme="minorHAnsi"/>
        </w:rPr>
        <w:t xml:space="preserve">, </w:t>
      </w:r>
      <w:r w:rsidRPr="00E043EF">
        <w:rPr>
          <w:rFonts w:asciiTheme="minorHAnsi" w:hAnsiTheme="minorHAnsi" w:cstheme="minorHAnsi"/>
          <w:i/>
          <w:iCs/>
        </w:rPr>
        <w:t xml:space="preserve">Plasmodium, </w:t>
      </w:r>
      <w:r w:rsidR="0061541B" w:rsidRPr="00E043EF">
        <w:rPr>
          <w:rFonts w:asciiTheme="minorHAnsi" w:hAnsiTheme="minorHAnsi" w:cstheme="minorHAnsi"/>
        </w:rPr>
        <w:t>babesiosis</w:t>
      </w:r>
      <w:r w:rsidRPr="00E043EF">
        <w:rPr>
          <w:rFonts w:asciiTheme="minorHAnsi" w:hAnsiTheme="minorHAnsi" w:cstheme="minorHAnsi"/>
        </w:rPr>
        <w:t xml:space="preserve">, and Chagas disease.  Some non-enveloped viruses and bacterial spores have been resistant to the INTERCEPT treatment.  The validity of these findings have been supported by published studies from multiple European countries - Belgium, Switzerland, and France.  Ten published clinical trials comparing pathogen-reduced platelets with standard platelets and nine trials included 675 patients that received INTERCEPT platelet transfusions have been conducted.(3)  The spectrum of organisms inactivated by the INTERCEPT Blood System and the efficacy of this PI method have been published: “there was a 4- to 6-fold log reduction in infectivity for most pathogens tested”.(4) Since 2014 forty countries have adopted and are currently using the INTERCEPT Blood System.(4)  </w:t>
      </w:r>
    </w:p>
    <w:p w:rsidR="00E043EF" w:rsidRPr="00E043EF" w:rsidRDefault="00E043EF" w:rsidP="00E043EF">
      <w:pPr>
        <w:spacing w:line="480" w:lineRule="auto"/>
        <w:ind w:firstLine="720"/>
        <w:rPr>
          <w:rFonts w:asciiTheme="minorHAnsi" w:hAnsiTheme="minorHAnsi" w:cstheme="minorHAnsi"/>
        </w:rPr>
      </w:pPr>
      <w:r w:rsidRPr="00E043EF">
        <w:rPr>
          <w:rFonts w:asciiTheme="minorHAnsi" w:hAnsiTheme="minorHAnsi" w:cstheme="minorHAnsi"/>
        </w:rPr>
        <w:t>Studies were also completed to evaluate the possible consequences of patient exposure to amotosalen – the chemical used to inactivate the pathogen nucleic acids in the INTERCEPT Blood System.  Studies were conducted to examine the potential toxicity of amotosalen on patients receiving INTERCEPT treated products.  Data was collected using single dose and multiple dose injections of amotosalen on mice, rats and dogs. Animal experiments with amotosalen injections showed no indication that there is a toxicological risk when using platelets treated using the INTERCEPT Blood System.  Even repeat-dose studies using rats and dogs involving daily intravenous injections of amotosalen 30,000-fold the clinical exposure from a transfusion of INTERCEPT products showed no evidence of toxicity.(1)</w:t>
      </w:r>
    </w:p>
    <w:p w:rsidR="00E043EF" w:rsidRPr="00E043EF" w:rsidRDefault="00E043EF" w:rsidP="00E043EF">
      <w:pPr>
        <w:spacing w:line="480" w:lineRule="auto"/>
        <w:ind w:firstLine="720"/>
        <w:rPr>
          <w:rFonts w:asciiTheme="minorHAnsi" w:hAnsiTheme="minorHAnsi" w:cstheme="minorHAnsi"/>
        </w:rPr>
      </w:pPr>
      <w:r w:rsidRPr="00E043EF">
        <w:rPr>
          <w:rFonts w:asciiTheme="minorHAnsi" w:hAnsiTheme="minorHAnsi" w:cstheme="minorHAnsi"/>
        </w:rPr>
        <w:lastRenderedPageBreak/>
        <w:t xml:space="preserve">Another concern with the Pathogen Inactivation technologies is the effect the treatment has on the human product – platelets, plasma, leukocytes and white blood cells.  Do platelets and plasma treated with the INTERCEPT Blood System have the same composition and function?  The INTERCEPT process moderately affects the coagulation factors but does not have a significant impact on patients receiving therapeutic plasma exchange.  According to </w:t>
      </w:r>
      <w:r w:rsidRPr="00E043EF">
        <w:rPr>
          <w:rFonts w:asciiTheme="minorHAnsi" w:hAnsiTheme="minorHAnsi" w:cstheme="minorHAnsi"/>
          <w:bCs/>
        </w:rPr>
        <w:t xml:space="preserve">Rossi's Principles of Transfusion Medicine, </w:t>
      </w:r>
      <w:r w:rsidRPr="00E043EF">
        <w:rPr>
          <w:rFonts w:asciiTheme="minorHAnsi" w:hAnsiTheme="minorHAnsi" w:cstheme="minorHAnsi"/>
        </w:rPr>
        <w:t xml:space="preserve">“Over 7000 transfusions demonstrated high levels of safety and tolerability and decreased frequency of adverse transfusion reactions compared to untreated plasma.”(5)   INTERCEPT treatment does cause some biochemical changes within platelets.  Overall, however the platelets remain functional and effective.  The clinical efficacy and safety of INTERCEPT treated platelets has been demonstrated within a large number of clinical trials with thousands of patients.  Eleven clinical trials with over 1,000 patients and a retrospective analytical study of over 13,000 INTERCEPT platelet recipient’s confirmed the efficacy and safety of the INTERCEPT treated platelets. (5) </w:t>
      </w:r>
    </w:p>
    <w:p w:rsidR="00076D12" w:rsidRPr="00E043EF" w:rsidRDefault="00E043EF" w:rsidP="00E043EF">
      <w:pPr>
        <w:spacing w:line="480" w:lineRule="auto"/>
        <w:rPr>
          <w:rFonts w:asciiTheme="minorHAnsi" w:hAnsiTheme="minorHAnsi" w:cstheme="minorHAnsi"/>
        </w:rPr>
      </w:pPr>
      <w:r w:rsidRPr="00E043EF">
        <w:rPr>
          <w:rFonts w:asciiTheme="minorHAnsi" w:hAnsiTheme="minorHAnsi" w:cstheme="minorHAnsi"/>
          <w:bCs/>
        </w:rPr>
        <w:tab/>
        <w:t>While there have been many successes and much progress in the area of Pathogen Inactivation technology the innovation and research must continue so that all blood transfusion products are safe.  Platelets and plasma have successfully processed by PI technology, now scientist must focus their efforts on finding a system that will eliminate pathogens from RBC components as well.</w:t>
      </w:r>
    </w:p>
    <w:p w:rsidR="004D0B50" w:rsidRDefault="004D0B50">
      <w:pPr>
        <w:rPr>
          <w:rFonts w:asciiTheme="minorHAnsi" w:eastAsia="Times New Roman" w:hAnsiTheme="minorHAnsi" w:cstheme="minorHAnsi"/>
          <w:color w:val="auto"/>
        </w:rPr>
      </w:pPr>
      <w:r>
        <w:rPr>
          <w:rFonts w:asciiTheme="minorHAnsi" w:eastAsia="Times New Roman" w:hAnsiTheme="minorHAnsi" w:cstheme="minorHAnsi"/>
          <w:color w:val="auto"/>
        </w:rPr>
        <w:br w:type="page"/>
      </w:r>
    </w:p>
    <w:p w:rsidR="00E043EF" w:rsidRDefault="00E043EF" w:rsidP="00E043EF">
      <w:pPr>
        <w:tabs>
          <w:tab w:val="right" w:pos="8620"/>
        </w:tabs>
        <w:jc w:val="center"/>
        <w:rPr>
          <w:rFonts w:asciiTheme="minorHAnsi" w:eastAsia="Times New Roman" w:hAnsiTheme="minorHAnsi" w:cstheme="minorHAnsi"/>
          <w:color w:val="auto"/>
        </w:rPr>
      </w:pPr>
      <w:r w:rsidRPr="00E043EF">
        <w:rPr>
          <w:rFonts w:asciiTheme="minorHAnsi" w:eastAsia="Times New Roman" w:hAnsiTheme="minorHAnsi" w:cstheme="minorHAnsi"/>
          <w:color w:val="auto"/>
        </w:rPr>
        <w:lastRenderedPageBreak/>
        <w:t>References</w:t>
      </w:r>
    </w:p>
    <w:p w:rsidR="00E043EF" w:rsidRPr="00E043EF" w:rsidRDefault="00E043EF" w:rsidP="00E043EF">
      <w:pPr>
        <w:tabs>
          <w:tab w:val="right" w:pos="8620"/>
        </w:tabs>
        <w:jc w:val="center"/>
        <w:rPr>
          <w:rFonts w:asciiTheme="minorHAnsi" w:eastAsia="Times New Roman" w:hAnsiTheme="minorHAnsi" w:cstheme="minorHAnsi"/>
          <w:color w:val="auto"/>
        </w:rPr>
      </w:pPr>
    </w:p>
    <w:p w:rsidR="00E043EF" w:rsidRPr="00E043EF" w:rsidRDefault="0061541B" w:rsidP="00E043EF">
      <w:pPr>
        <w:numPr>
          <w:ilvl w:val="0"/>
          <w:numId w:val="1"/>
        </w:numPr>
        <w:tabs>
          <w:tab w:val="right" w:pos="8620"/>
        </w:tabs>
        <w:rPr>
          <w:rFonts w:asciiTheme="minorHAnsi" w:eastAsia="Times New Roman" w:hAnsiTheme="minorHAnsi" w:cstheme="minorHAnsi"/>
          <w:color w:val="auto"/>
        </w:rPr>
      </w:pPr>
      <w:r w:rsidRPr="00E043EF">
        <w:rPr>
          <w:rFonts w:asciiTheme="minorHAnsi" w:eastAsia="Times New Roman" w:hAnsiTheme="minorHAnsi" w:cstheme="minorHAnsi"/>
          <w:color w:val="auto"/>
        </w:rPr>
        <w:t>Cerus Corporation. INTERCEPT Blood System for platelets—small volume processing set (package insert). Concord, CA: Cerus, 2016.    https://www.fda.gov/downloads/BiologicsBloodVaccines/BloodBloodProducts/ApprovedProducts/PremarketApprovalsPMAs/UCM427512.pdf</w:t>
      </w:r>
    </w:p>
    <w:p w:rsidR="00E043EF" w:rsidRPr="00E043EF" w:rsidRDefault="00E043EF" w:rsidP="00E043EF">
      <w:pPr>
        <w:tabs>
          <w:tab w:val="right" w:pos="8620"/>
        </w:tabs>
        <w:rPr>
          <w:rFonts w:asciiTheme="minorHAnsi" w:eastAsia="Times New Roman" w:hAnsiTheme="minorHAnsi" w:cstheme="minorHAnsi"/>
          <w:color w:val="auto"/>
        </w:rPr>
      </w:pPr>
    </w:p>
    <w:p w:rsidR="00E043EF" w:rsidRPr="00E043EF" w:rsidRDefault="0061541B" w:rsidP="00E043EF">
      <w:pPr>
        <w:numPr>
          <w:ilvl w:val="0"/>
          <w:numId w:val="1"/>
        </w:numPr>
        <w:tabs>
          <w:tab w:val="right" w:pos="8620"/>
        </w:tabs>
        <w:rPr>
          <w:rFonts w:asciiTheme="minorHAnsi" w:eastAsia="Times New Roman" w:hAnsiTheme="minorHAnsi" w:cstheme="minorHAnsi"/>
          <w:color w:val="auto"/>
        </w:rPr>
      </w:pPr>
      <w:r w:rsidRPr="00E043EF">
        <w:rPr>
          <w:rFonts w:asciiTheme="minorHAnsi" w:eastAsia="Times New Roman" w:hAnsiTheme="minorHAnsi" w:cstheme="minorHAnsi"/>
          <w:color w:val="auto"/>
        </w:rPr>
        <w:t xml:space="preserve">Front. Med., 04 December 2017 | </w:t>
      </w:r>
      <w:hyperlink r:id="rId8" w:history="1">
        <w:r w:rsidRPr="00E043EF">
          <w:rPr>
            <w:rStyle w:val="Hyperlink"/>
            <w:rFonts w:asciiTheme="minorHAnsi" w:eastAsia="Times New Roman" w:hAnsiTheme="minorHAnsi" w:cstheme="minorHAnsi"/>
          </w:rPr>
          <w:t>https://doi.org/10.3389/fmed.2017.00219</w:t>
        </w:r>
      </w:hyperlink>
      <w:r w:rsidRPr="00E043EF">
        <w:rPr>
          <w:rFonts w:asciiTheme="minorHAnsi" w:eastAsia="Times New Roman" w:hAnsiTheme="minorHAnsi" w:cstheme="minorHAnsi"/>
          <w:color w:val="auto"/>
        </w:rPr>
        <w:t xml:space="preserve"> </w:t>
      </w:r>
      <w:r w:rsidRPr="00E043EF">
        <w:rPr>
          <w:rFonts w:asciiTheme="minorHAnsi" w:eastAsia="Times New Roman" w:hAnsiTheme="minorHAnsi" w:cstheme="minorHAnsi"/>
          <w:b/>
          <w:bCs/>
          <w:color w:val="auto"/>
        </w:rPr>
        <w:t>Pathogen Inactivation of Cellular Blood Products—An Additional Safety Layer in Transfusion Medicine</w:t>
      </w:r>
      <w:r w:rsidR="00E043EF" w:rsidRPr="00E043EF">
        <w:rPr>
          <w:rFonts w:asciiTheme="minorHAnsi" w:eastAsia="Times New Roman" w:hAnsiTheme="minorHAnsi" w:cstheme="minorHAnsi"/>
          <w:b/>
          <w:bCs/>
          <w:color w:val="auto"/>
        </w:rPr>
        <w:t xml:space="preserve"> </w:t>
      </w:r>
      <w:hyperlink r:id="rId9" w:history="1">
        <w:r w:rsidRPr="00E043EF">
          <w:rPr>
            <w:rStyle w:val="Hyperlink"/>
            <w:rFonts w:asciiTheme="minorHAnsi" w:eastAsia="Times New Roman" w:hAnsiTheme="minorHAnsi" w:cstheme="minorHAnsi"/>
          </w:rPr>
          <w:t>Axel Seltsam</w:t>
        </w:r>
      </w:hyperlink>
      <w:r w:rsidRPr="00E043EF">
        <w:rPr>
          <w:rFonts w:asciiTheme="minorHAnsi" w:eastAsia="Times New Roman" w:hAnsiTheme="minorHAnsi" w:cstheme="minorHAnsi"/>
          <w:color w:val="auto"/>
        </w:rPr>
        <w:t>* German Red Cross Blood Service NSTOB, Institute Springe, Springe, Germany</w:t>
      </w:r>
      <w:r w:rsidR="00E043EF" w:rsidRPr="00E043EF">
        <w:rPr>
          <w:rFonts w:asciiTheme="minorHAnsi" w:eastAsia="Times New Roman" w:hAnsiTheme="minorHAnsi" w:cstheme="minorHAnsi"/>
          <w:color w:val="auto"/>
        </w:rPr>
        <w:t xml:space="preserve"> </w:t>
      </w:r>
      <w:r w:rsidRPr="00E043EF">
        <w:rPr>
          <w:rFonts w:asciiTheme="minorHAnsi" w:eastAsia="Times New Roman" w:hAnsiTheme="minorHAnsi" w:cstheme="minorHAnsi"/>
          <w:color w:val="auto"/>
        </w:rPr>
        <w:t>https://www.frontiersin.org/articles/10.3389/fmed.2017.00219/full</w:t>
      </w:r>
    </w:p>
    <w:p w:rsidR="00D552CF" w:rsidRPr="00E043EF" w:rsidRDefault="00D9095D" w:rsidP="00E043EF">
      <w:pPr>
        <w:tabs>
          <w:tab w:val="right" w:pos="8620"/>
        </w:tabs>
        <w:rPr>
          <w:rFonts w:asciiTheme="minorHAnsi" w:eastAsia="Times New Roman" w:hAnsiTheme="minorHAnsi" w:cstheme="minorHAnsi"/>
          <w:color w:val="auto"/>
        </w:rPr>
      </w:pPr>
    </w:p>
    <w:p w:rsidR="00E043EF" w:rsidRPr="00E043EF" w:rsidRDefault="0061541B" w:rsidP="00E043EF">
      <w:pPr>
        <w:numPr>
          <w:ilvl w:val="0"/>
          <w:numId w:val="1"/>
        </w:numPr>
        <w:tabs>
          <w:tab w:val="right" w:pos="8620"/>
        </w:tabs>
        <w:rPr>
          <w:rFonts w:asciiTheme="minorHAnsi" w:eastAsia="Times New Roman" w:hAnsiTheme="minorHAnsi" w:cstheme="minorHAnsi"/>
          <w:color w:val="auto"/>
        </w:rPr>
      </w:pPr>
      <w:r w:rsidRPr="00E043EF">
        <w:rPr>
          <w:rFonts w:asciiTheme="minorHAnsi" w:eastAsia="Times New Roman" w:hAnsiTheme="minorHAnsi" w:cstheme="minorHAnsi"/>
          <w:color w:val="auto"/>
        </w:rPr>
        <w:t>QUESTIONS AND ANSWERS ABOUT PATHOGEN-REDUCED APHERESIS PLATELET COMPONENTS; AABB Pathogen Inactivation Technology Review Work Group https://www.aabb.org/programs/clinical/Documents/Q-and-A-about-Pathogen-Reduced-Apheresis-Platelet-Components.pdf</w:t>
      </w:r>
    </w:p>
    <w:p w:rsidR="00EF652B" w:rsidRPr="00E043EF" w:rsidRDefault="00D9095D" w:rsidP="00E043EF">
      <w:pPr>
        <w:tabs>
          <w:tab w:val="right" w:pos="8620"/>
        </w:tabs>
        <w:rPr>
          <w:rFonts w:asciiTheme="minorHAnsi" w:eastAsia="Times New Roman" w:hAnsiTheme="minorHAnsi" w:cstheme="minorHAnsi"/>
          <w:color w:val="auto"/>
        </w:rPr>
      </w:pPr>
    </w:p>
    <w:p w:rsidR="00E043EF" w:rsidRPr="00E043EF" w:rsidRDefault="00E043EF" w:rsidP="00E043EF">
      <w:pPr>
        <w:numPr>
          <w:ilvl w:val="0"/>
          <w:numId w:val="1"/>
        </w:numPr>
        <w:tabs>
          <w:tab w:val="right" w:pos="8620"/>
        </w:tabs>
        <w:rPr>
          <w:rFonts w:asciiTheme="minorHAnsi" w:eastAsia="Times New Roman" w:hAnsiTheme="minorHAnsi" w:cstheme="minorHAnsi"/>
          <w:color w:val="auto"/>
        </w:rPr>
      </w:pPr>
      <w:r w:rsidRPr="00E043EF">
        <w:rPr>
          <w:rFonts w:asciiTheme="minorHAnsi" w:eastAsia="Times New Roman" w:hAnsiTheme="minorHAnsi" w:cstheme="minorHAnsi"/>
          <w:b/>
          <w:color w:val="auto"/>
        </w:rPr>
        <w:t>The clinical and biological impact of new pathogen inactivation technologies on platelet concentrates</w:t>
      </w:r>
      <w:r w:rsidRPr="00E043EF">
        <w:rPr>
          <w:rFonts w:asciiTheme="minorHAnsi" w:eastAsia="Times New Roman" w:hAnsiTheme="minorHAnsi" w:cstheme="minorHAnsi"/>
          <w:color w:val="auto"/>
        </w:rPr>
        <w:t xml:space="preserve">, </w:t>
      </w:r>
      <w:r w:rsidR="0061541B" w:rsidRPr="00E043EF">
        <w:rPr>
          <w:rFonts w:asciiTheme="minorHAnsi" w:eastAsia="Times New Roman" w:hAnsiTheme="minorHAnsi" w:cstheme="minorHAnsi"/>
          <w:color w:val="auto"/>
        </w:rPr>
        <w:t>Julie</w:t>
      </w:r>
      <w:r w:rsidRPr="00E043EF">
        <w:rPr>
          <w:rFonts w:asciiTheme="minorHAnsi" w:eastAsia="Times New Roman" w:hAnsiTheme="minorHAnsi" w:cstheme="minorHAnsi"/>
          <w:color w:val="auto"/>
        </w:rPr>
        <w:t xml:space="preserve"> Kaiser, </w:t>
      </w:r>
      <w:r w:rsidR="0061541B" w:rsidRPr="00E043EF">
        <w:rPr>
          <w:rFonts w:asciiTheme="minorHAnsi" w:eastAsia="Times New Roman" w:hAnsiTheme="minorHAnsi" w:cstheme="minorHAnsi"/>
          <w:color w:val="auto"/>
        </w:rPr>
        <w:t>Guignarda</w:t>
      </w:r>
      <w:r w:rsidRPr="00E043EF">
        <w:rPr>
          <w:rFonts w:asciiTheme="minorHAnsi" w:eastAsia="Times New Roman" w:hAnsiTheme="minorHAnsi" w:cstheme="minorHAnsi"/>
          <w:color w:val="auto"/>
        </w:rPr>
        <w:t xml:space="preserve"> </w:t>
      </w:r>
      <w:r w:rsidR="0061541B" w:rsidRPr="00E043EF">
        <w:rPr>
          <w:rFonts w:asciiTheme="minorHAnsi" w:eastAsia="Times New Roman" w:hAnsiTheme="minorHAnsi" w:cstheme="minorHAnsi"/>
          <w:color w:val="auto"/>
        </w:rPr>
        <w:t>Giorgia</w:t>
      </w:r>
      <w:r w:rsidRPr="00E043EF">
        <w:rPr>
          <w:rFonts w:asciiTheme="minorHAnsi" w:eastAsia="Times New Roman" w:hAnsiTheme="minorHAnsi" w:cstheme="minorHAnsi"/>
          <w:color w:val="auto"/>
        </w:rPr>
        <w:t xml:space="preserve"> , et al,  </w:t>
      </w:r>
      <w:hyperlink r:id="rId10" w:tooltip="Go to table of contents for this volume/issue" w:history="1">
        <w:r w:rsidRPr="00E043EF">
          <w:rPr>
            <w:rStyle w:val="Hyperlink"/>
            <w:rFonts w:asciiTheme="minorHAnsi" w:eastAsia="Times New Roman" w:hAnsiTheme="minorHAnsi" w:cstheme="minorHAnsi"/>
          </w:rPr>
          <w:t>Volume 28, Issue 6</w:t>
        </w:r>
      </w:hyperlink>
      <w:r w:rsidRPr="00E043EF">
        <w:rPr>
          <w:rFonts w:asciiTheme="minorHAnsi" w:eastAsia="Times New Roman" w:hAnsiTheme="minorHAnsi" w:cstheme="minorHAnsi"/>
          <w:color w:val="auto"/>
        </w:rPr>
        <w:t>, November 2014, Pages 235-241: https://www.sciencedirect.com/science/article/pii/S0268960X14000575</w:t>
      </w:r>
    </w:p>
    <w:p w:rsidR="00AF02D5" w:rsidRPr="00E043EF" w:rsidRDefault="00D9095D" w:rsidP="00E043EF">
      <w:pPr>
        <w:tabs>
          <w:tab w:val="right" w:pos="8620"/>
        </w:tabs>
        <w:rPr>
          <w:rFonts w:asciiTheme="minorHAnsi" w:eastAsia="Times New Roman" w:hAnsiTheme="minorHAnsi" w:cstheme="minorHAnsi"/>
          <w:color w:val="auto"/>
        </w:rPr>
      </w:pPr>
    </w:p>
    <w:p w:rsidR="00E043EF" w:rsidRPr="00E043EF" w:rsidRDefault="00E043EF" w:rsidP="00E043EF">
      <w:pPr>
        <w:numPr>
          <w:ilvl w:val="0"/>
          <w:numId w:val="1"/>
        </w:numPr>
        <w:tabs>
          <w:tab w:val="right" w:pos="8620"/>
        </w:tabs>
        <w:rPr>
          <w:rFonts w:asciiTheme="minorHAnsi" w:eastAsia="Times New Roman" w:hAnsiTheme="minorHAnsi" w:cstheme="minorHAnsi"/>
          <w:b/>
          <w:color w:val="auto"/>
        </w:rPr>
      </w:pPr>
      <w:r w:rsidRPr="00E043EF">
        <w:rPr>
          <w:rFonts w:asciiTheme="minorHAnsi" w:eastAsia="Times New Roman" w:hAnsiTheme="minorHAnsi" w:cstheme="minorHAnsi"/>
          <w:b/>
          <w:color w:val="auto"/>
        </w:rPr>
        <w:t xml:space="preserve">Rossi's Principles of Transfusion Medicine, </w:t>
      </w:r>
      <w:r w:rsidR="0061541B" w:rsidRPr="00E043EF">
        <w:rPr>
          <w:rFonts w:asciiTheme="minorHAnsi" w:eastAsia="Times New Roman" w:hAnsiTheme="minorHAnsi" w:cstheme="minorHAnsi"/>
          <w:color w:val="auto"/>
        </w:rPr>
        <w:t>Toby L. Simon, Jeffrey Mc</w:t>
      </w:r>
      <w:r w:rsidRPr="00E043EF">
        <w:rPr>
          <w:rFonts w:asciiTheme="minorHAnsi" w:eastAsia="Times New Roman" w:hAnsiTheme="minorHAnsi" w:cstheme="minorHAnsi"/>
          <w:color w:val="auto"/>
        </w:rPr>
        <w:t xml:space="preserve">Cullough, Edward L. Snyder, et al, </w:t>
      </w:r>
      <w:r w:rsidR="0061541B" w:rsidRPr="00E043EF">
        <w:rPr>
          <w:rFonts w:asciiTheme="minorHAnsi" w:eastAsia="Times New Roman" w:hAnsiTheme="minorHAnsi" w:cstheme="minorHAnsi"/>
          <w:color w:val="auto"/>
        </w:rPr>
        <w:t>M</w:t>
      </w:r>
      <w:r w:rsidRPr="00E043EF">
        <w:rPr>
          <w:rFonts w:asciiTheme="minorHAnsi" w:eastAsia="Times New Roman" w:hAnsiTheme="minorHAnsi" w:cstheme="minorHAnsi"/>
          <w:color w:val="auto"/>
        </w:rPr>
        <w:t>ay 9, 2016. https://books.google.com/books?id=brHDCwAAQBAJ&amp;pg=PA634&amp;lpg=PA634&amp;dq=INTERCEPT+PI+plasma+and+platelets+normal+functionality&amp;source=bl&amp;ots=fiTKwhOivr&amp;sig=Lvy2CBnJg9IumhK1c8vy6WDvkzo&amp;hl=en&amp;sa=X&amp;ved=0ahUKEwi0u4Px2ZLYAhWEKyYKHSfHB_gQ6AEIPjAD#v=onepage&amp;q=INTERCEPT%20PI%20plasma%20and%20platelets%20normal%20functionality&amp;f=false</w:t>
      </w:r>
    </w:p>
    <w:sectPr w:rsidR="00E043EF" w:rsidRPr="00E043EF" w:rsidSect="000948C3">
      <w:pgSz w:w="12240" w:h="15840"/>
      <w:pgMar w:top="1152" w:right="1800" w:bottom="115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055F" w:rsidRDefault="0025055F">
      <w:r>
        <w:separator/>
      </w:r>
    </w:p>
  </w:endnote>
  <w:endnote w:type="continuationSeparator" w:id="0">
    <w:p w:rsidR="0025055F" w:rsidRDefault="0025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Tahoma Bold">
    <w:panose1 w:val="020B0804030504040204"/>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055F" w:rsidRDefault="0025055F">
      <w:r>
        <w:separator/>
      </w:r>
    </w:p>
  </w:footnote>
  <w:footnote w:type="continuationSeparator" w:id="0">
    <w:p w:rsidR="0025055F" w:rsidRDefault="00250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51CA2"/>
    <w:multiLevelType w:val="hybridMultilevel"/>
    <w:tmpl w:val="C9C4D7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8D1"/>
    <w:rsid w:val="000858FA"/>
    <w:rsid w:val="000948C3"/>
    <w:rsid w:val="000C631B"/>
    <w:rsid w:val="000D1A60"/>
    <w:rsid w:val="00134DA4"/>
    <w:rsid w:val="00157FE0"/>
    <w:rsid w:val="001E78D1"/>
    <w:rsid w:val="0025055F"/>
    <w:rsid w:val="00252445"/>
    <w:rsid w:val="00317930"/>
    <w:rsid w:val="00371F9E"/>
    <w:rsid w:val="00381890"/>
    <w:rsid w:val="003B46B3"/>
    <w:rsid w:val="00467770"/>
    <w:rsid w:val="004D0B50"/>
    <w:rsid w:val="004D18E2"/>
    <w:rsid w:val="00532B0A"/>
    <w:rsid w:val="0061541B"/>
    <w:rsid w:val="00645C81"/>
    <w:rsid w:val="00812FF9"/>
    <w:rsid w:val="009107D6"/>
    <w:rsid w:val="0091331F"/>
    <w:rsid w:val="00971333"/>
    <w:rsid w:val="00A428A6"/>
    <w:rsid w:val="00A93FAF"/>
    <w:rsid w:val="00BB4B51"/>
    <w:rsid w:val="00C13A4F"/>
    <w:rsid w:val="00C94608"/>
    <w:rsid w:val="00D1057C"/>
    <w:rsid w:val="00D9095D"/>
    <w:rsid w:val="00E043EF"/>
    <w:rsid w:val="00E963CE"/>
    <w:rsid w:val="00EC0D0C"/>
    <w:rsid w:val="00F20AB6"/>
    <w:rsid w:val="00FC7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41781DA1-5FA2-4583-A4F9-AE2F12910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948C3"/>
    <w:rPr>
      <w:rFonts w:eastAsia="ヒラギノ角ゴ Pro W3"/>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0948C3"/>
    <w:rPr>
      <w:rFonts w:eastAsia="ヒラギノ角ゴ Pro W3"/>
      <w:color w:val="000000"/>
    </w:rPr>
  </w:style>
  <w:style w:type="paragraph" w:customStyle="1" w:styleId="TitleA">
    <w:name w:val="Title A"/>
    <w:rsid w:val="000948C3"/>
    <w:pPr>
      <w:jc w:val="center"/>
    </w:pPr>
    <w:rPr>
      <w:rFonts w:ascii="Tahoma Bold" w:eastAsia="ヒラギノ角ゴ Pro W3" w:hAnsi="Tahoma Bold"/>
      <w:color w:val="000000"/>
      <w:sz w:val="24"/>
    </w:rPr>
  </w:style>
  <w:style w:type="character" w:customStyle="1" w:styleId="Hyperlink1">
    <w:name w:val="Hyperlink1"/>
    <w:rsid w:val="000948C3"/>
    <w:rPr>
      <w:color w:val="0026F8"/>
      <w:sz w:val="20"/>
      <w:u w:val="single"/>
    </w:rPr>
  </w:style>
  <w:style w:type="character" w:styleId="Hyperlink">
    <w:name w:val="Hyperlink"/>
    <w:basedOn w:val="DefaultParagraphFont"/>
    <w:locked/>
    <w:rsid w:val="003B46B3"/>
    <w:rPr>
      <w:color w:val="0000FF"/>
      <w:u w:val="single"/>
    </w:rPr>
  </w:style>
  <w:style w:type="paragraph" w:styleId="BalloonText">
    <w:name w:val="Balloon Text"/>
    <w:basedOn w:val="Normal"/>
    <w:link w:val="BalloonTextChar"/>
    <w:locked/>
    <w:rsid w:val="00532B0A"/>
    <w:rPr>
      <w:rFonts w:ascii="Tahoma" w:hAnsi="Tahoma" w:cs="Tahoma"/>
      <w:sz w:val="16"/>
      <w:szCs w:val="16"/>
    </w:rPr>
  </w:style>
  <w:style w:type="character" w:customStyle="1" w:styleId="BalloonTextChar">
    <w:name w:val="Balloon Text Char"/>
    <w:basedOn w:val="DefaultParagraphFont"/>
    <w:link w:val="BalloonText"/>
    <w:rsid w:val="00532B0A"/>
    <w:rPr>
      <w:rFonts w:ascii="Tahoma" w:eastAsia="ヒラギノ角ゴ Pro W3" w:hAnsi="Tahoma" w:cs="Tahoma"/>
      <w:color w:val="000000"/>
      <w:sz w:val="16"/>
      <w:szCs w:val="16"/>
    </w:rPr>
  </w:style>
  <w:style w:type="paragraph" w:styleId="Header">
    <w:name w:val="header"/>
    <w:basedOn w:val="Normal"/>
    <w:link w:val="HeaderChar"/>
    <w:unhideWhenUsed/>
    <w:locked/>
    <w:rsid w:val="004D0B50"/>
    <w:pPr>
      <w:tabs>
        <w:tab w:val="center" w:pos="4680"/>
        <w:tab w:val="right" w:pos="9360"/>
      </w:tabs>
    </w:pPr>
  </w:style>
  <w:style w:type="character" w:customStyle="1" w:styleId="HeaderChar">
    <w:name w:val="Header Char"/>
    <w:basedOn w:val="DefaultParagraphFont"/>
    <w:link w:val="Header"/>
    <w:rsid w:val="004D0B50"/>
    <w:rPr>
      <w:rFonts w:eastAsia="ヒラギノ角ゴ Pro W3"/>
      <w:color w:val="000000"/>
      <w:sz w:val="24"/>
      <w:szCs w:val="24"/>
    </w:rPr>
  </w:style>
  <w:style w:type="paragraph" w:styleId="Footer">
    <w:name w:val="footer"/>
    <w:basedOn w:val="Normal"/>
    <w:link w:val="FooterChar"/>
    <w:unhideWhenUsed/>
    <w:locked/>
    <w:rsid w:val="004D0B50"/>
    <w:pPr>
      <w:tabs>
        <w:tab w:val="center" w:pos="4680"/>
        <w:tab w:val="right" w:pos="9360"/>
      </w:tabs>
    </w:pPr>
  </w:style>
  <w:style w:type="character" w:customStyle="1" w:styleId="FooterChar">
    <w:name w:val="Footer Char"/>
    <w:basedOn w:val="DefaultParagraphFont"/>
    <w:link w:val="Footer"/>
    <w:rsid w:val="004D0B50"/>
    <w:rPr>
      <w:rFonts w:eastAsia="ヒラギノ角ゴ Pro W3"/>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med.2017.0021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ciencedirect.com/science/journal/0268960X/28/6" TargetMode="External"/><Relationship Id="rId4" Type="http://schemas.openxmlformats.org/officeDocument/2006/relationships/webSettings" Target="webSettings.xml"/><Relationship Id="rId9" Type="http://schemas.openxmlformats.org/officeDocument/2006/relationships/hyperlink" Target="http://www.frontiersin.org/people/u/427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1261</Words>
  <Characters>7189</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Heart of America Association of Blood Banks</vt:lpstr>
    </vt:vector>
  </TitlesOfParts>
  <Company>SLHS</Company>
  <LinksUpToDate>false</LinksUpToDate>
  <CharactersWithSpaces>8434</CharactersWithSpaces>
  <SharedDoc>false</SharedDoc>
  <HLinks>
    <vt:vector size="12" baseType="variant">
      <vt:variant>
        <vt:i4>458860</vt:i4>
      </vt:variant>
      <vt:variant>
        <vt:i4>3</vt:i4>
      </vt:variant>
      <vt:variant>
        <vt:i4>0</vt:i4>
      </vt:variant>
      <vt:variant>
        <vt:i4>5</vt:i4>
      </vt:variant>
      <vt:variant>
        <vt:lpwstr>mailto:mswofford@saint-lukes.org</vt:lpwstr>
      </vt:variant>
      <vt:variant>
        <vt:lpwstr/>
      </vt:variant>
      <vt:variant>
        <vt:i4>4718607</vt:i4>
      </vt:variant>
      <vt:variant>
        <vt:i4>0</vt:i4>
      </vt:variant>
      <vt:variant>
        <vt:i4>0</vt:i4>
      </vt:variant>
      <vt:variant>
        <vt:i4>5</vt:i4>
      </vt:variant>
      <vt:variant>
        <vt:lpwstr>http://www.haabb.org/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 of America Association of Blood Banks</dc:title>
  <dc:creator>Registered User</dc:creator>
  <cp:lastModifiedBy>Jung, Jennifer</cp:lastModifiedBy>
  <cp:revision>2</cp:revision>
  <cp:lastPrinted>2018-04-10T16:00:00Z</cp:lastPrinted>
  <dcterms:created xsi:type="dcterms:W3CDTF">2018-04-11T19:25:00Z</dcterms:created>
  <dcterms:modified xsi:type="dcterms:W3CDTF">2018-04-11T19:25:00Z</dcterms:modified>
</cp:coreProperties>
</file>