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3C4C" w:rsidRDefault="00293C4C" w:rsidP="009F6B45">
      <w:pPr>
        <w:spacing w:line="480" w:lineRule="auto"/>
        <w:jc w:val="center"/>
        <w:rPr>
          <w:rFonts w:ascii="Times New Roman" w:hAnsi="Times New Roman" w:cs="Times New Roman"/>
          <w:b/>
          <w:sz w:val="28"/>
        </w:rPr>
      </w:pPr>
    </w:p>
    <w:p w:rsidR="00293C4C" w:rsidRDefault="00293C4C" w:rsidP="009F6B45">
      <w:pPr>
        <w:spacing w:line="480" w:lineRule="auto"/>
        <w:jc w:val="center"/>
        <w:rPr>
          <w:rFonts w:ascii="Times New Roman" w:hAnsi="Times New Roman" w:cs="Times New Roman"/>
          <w:b/>
          <w:sz w:val="28"/>
        </w:rPr>
      </w:pPr>
    </w:p>
    <w:p w:rsidR="00293C4C" w:rsidRDefault="00293C4C" w:rsidP="009F6B45">
      <w:pPr>
        <w:spacing w:line="480" w:lineRule="auto"/>
        <w:jc w:val="center"/>
        <w:rPr>
          <w:rFonts w:ascii="Times New Roman" w:hAnsi="Times New Roman" w:cs="Times New Roman"/>
          <w:b/>
          <w:sz w:val="28"/>
        </w:rPr>
      </w:pPr>
    </w:p>
    <w:p w:rsidR="00293C4C" w:rsidRDefault="00293C4C" w:rsidP="009F6B45">
      <w:pPr>
        <w:spacing w:line="480" w:lineRule="auto"/>
        <w:jc w:val="center"/>
        <w:rPr>
          <w:rFonts w:ascii="Times New Roman" w:hAnsi="Times New Roman" w:cs="Times New Roman"/>
          <w:b/>
          <w:sz w:val="28"/>
        </w:rPr>
      </w:pPr>
    </w:p>
    <w:p w:rsidR="00293C4C" w:rsidRDefault="00293C4C" w:rsidP="009F6B45">
      <w:pPr>
        <w:spacing w:line="480" w:lineRule="auto"/>
        <w:jc w:val="center"/>
        <w:rPr>
          <w:rFonts w:ascii="Times New Roman" w:hAnsi="Times New Roman" w:cs="Times New Roman"/>
          <w:b/>
          <w:sz w:val="28"/>
        </w:rPr>
      </w:pPr>
    </w:p>
    <w:p w:rsidR="00293C4C" w:rsidRDefault="00293C4C" w:rsidP="00293C4C">
      <w:pPr>
        <w:spacing w:line="480" w:lineRule="auto"/>
        <w:rPr>
          <w:rFonts w:ascii="Times New Roman" w:hAnsi="Times New Roman" w:cs="Times New Roman"/>
          <w:b/>
          <w:sz w:val="28"/>
        </w:rPr>
      </w:pPr>
    </w:p>
    <w:p w:rsidR="00293C4C" w:rsidRDefault="00293C4C" w:rsidP="009F6B45">
      <w:pPr>
        <w:spacing w:line="480" w:lineRule="auto"/>
        <w:jc w:val="center"/>
        <w:rPr>
          <w:rFonts w:ascii="Times New Roman" w:hAnsi="Times New Roman" w:cs="Times New Roman"/>
          <w:b/>
          <w:sz w:val="28"/>
        </w:rPr>
      </w:pPr>
    </w:p>
    <w:p w:rsidR="00293C4C" w:rsidRDefault="00293C4C" w:rsidP="009F6B45">
      <w:pPr>
        <w:spacing w:line="480" w:lineRule="auto"/>
        <w:jc w:val="center"/>
        <w:rPr>
          <w:rFonts w:ascii="Times New Roman" w:hAnsi="Times New Roman" w:cs="Times New Roman"/>
          <w:b/>
          <w:sz w:val="28"/>
        </w:rPr>
      </w:pPr>
    </w:p>
    <w:p w:rsidR="00293C4C" w:rsidRDefault="00293C4C" w:rsidP="00293C4C">
      <w:pPr>
        <w:spacing w:line="480" w:lineRule="auto"/>
        <w:jc w:val="center"/>
        <w:rPr>
          <w:rFonts w:ascii="Times New Roman" w:hAnsi="Times New Roman" w:cs="Times New Roman"/>
          <w:b/>
          <w:sz w:val="28"/>
        </w:rPr>
      </w:pPr>
      <w:r w:rsidRPr="009F6B45">
        <w:rPr>
          <w:rFonts w:ascii="Times New Roman" w:hAnsi="Times New Roman" w:cs="Times New Roman"/>
          <w:b/>
          <w:sz w:val="28"/>
        </w:rPr>
        <w:t>Alternative and Non-Traditional Treatments for Graft Versus Host Disease in Leukemia Patients</w:t>
      </w:r>
    </w:p>
    <w:p w:rsidR="00293C4C" w:rsidRDefault="00293C4C" w:rsidP="00293C4C">
      <w:pPr>
        <w:spacing w:line="480" w:lineRule="auto"/>
        <w:jc w:val="center"/>
        <w:rPr>
          <w:rFonts w:ascii="Times New Roman" w:hAnsi="Times New Roman" w:cs="Times New Roman"/>
          <w:b/>
          <w:sz w:val="28"/>
        </w:rPr>
      </w:pPr>
    </w:p>
    <w:p w:rsidR="00293C4C" w:rsidRPr="009F6B45" w:rsidRDefault="00293C4C" w:rsidP="00293C4C">
      <w:pPr>
        <w:spacing w:line="480" w:lineRule="auto"/>
        <w:jc w:val="center"/>
        <w:rPr>
          <w:rFonts w:ascii="Times New Roman" w:hAnsi="Times New Roman" w:cs="Times New Roman"/>
        </w:rPr>
      </w:pPr>
    </w:p>
    <w:p w:rsidR="00293C4C" w:rsidRPr="00293C4C" w:rsidRDefault="00293C4C" w:rsidP="00293C4C">
      <w:pPr>
        <w:tabs>
          <w:tab w:val="left" w:pos="1116"/>
          <w:tab w:val="center" w:pos="4680"/>
        </w:tabs>
        <w:spacing w:line="480" w:lineRule="auto"/>
        <w:rPr>
          <w:rFonts w:ascii="Times New Roman" w:hAnsi="Times New Roman" w:cs="Times New Roman"/>
          <w:sz w:val="28"/>
        </w:rPr>
      </w:pPr>
      <w:r w:rsidRPr="00293C4C">
        <w:rPr>
          <w:rFonts w:ascii="Times New Roman" w:hAnsi="Times New Roman" w:cs="Times New Roman"/>
          <w:sz w:val="28"/>
        </w:rPr>
        <w:tab/>
      </w:r>
      <w:r w:rsidRPr="00293C4C">
        <w:rPr>
          <w:rFonts w:ascii="Times New Roman" w:hAnsi="Times New Roman" w:cs="Times New Roman"/>
          <w:sz w:val="28"/>
        </w:rPr>
        <w:tab/>
        <w:t>HAABB Scholarship Application</w:t>
      </w:r>
    </w:p>
    <w:p w:rsidR="00293C4C" w:rsidRPr="00293C4C" w:rsidRDefault="00293C4C" w:rsidP="00293C4C">
      <w:pPr>
        <w:tabs>
          <w:tab w:val="left" w:pos="556"/>
          <w:tab w:val="center" w:pos="4680"/>
        </w:tabs>
        <w:spacing w:line="480" w:lineRule="auto"/>
        <w:rPr>
          <w:rFonts w:ascii="Times New Roman" w:hAnsi="Times New Roman" w:cs="Times New Roman"/>
          <w:sz w:val="28"/>
        </w:rPr>
      </w:pPr>
      <w:r w:rsidRPr="00293C4C">
        <w:rPr>
          <w:rFonts w:ascii="Times New Roman" w:hAnsi="Times New Roman" w:cs="Times New Roman"/>
          <w:sz w:val="28"/>
        </w:rPr>
        <w:tab/>
      </w:r>
      <w:r w:rsidRPr="00293C4C">
        <w:rPr>
          <w:rFonts w:ascii="Times New Roman" w:hAnsi="Times New Roman" w:cs="Times New Roman"/>
          <w:sz w:val="28"/>
        </w:rPr>
        <w:tab/>
      </w:r>
    </w:p>
    <w:p w:rsidR="00293C4C" w:rsidRDefault="00293C4C" w:rsidP="009F6B45">
      <w:pPr>
        <w:spacing w:line="480" w:lineRule="auto"/>
        <w:jc w:val="center"/>
        <w:rPr>
          <w:rFonts w:ascii="Times New Roman" w:hAnsi="Times New Roman" w:cs="Times New Roman"/>
          <w:b/>
          <w:sz w:val="28"/>
        </w:rPr>
      </w:pPr>
    </w:p>
    <w:p w:rsidR="00293C4C" w:rsidRDefault="00293C4C" w:rsidP="009F6B45">
      <w:pPr>
        <w:spacing w:line="480" w:lineRule="auto"/>
        <w:jc w:val="center"/>
        <w:rPr>
          <w:rFonts w:ascii="Times New Roman" w:hAnsi="Times New Roman" w:cs="Times New Roman"/>
          <w:b/>
          <w:sz w:val="28"/>
        </w:rPr>
      </w:pPr>
    </w:p>
    <w:p w:rsidR="00293C4C" w:rsidRDefault="00293C4C" w:rsidP="009F6B45">
      <w:pPr>
        <w:spacing w:line="480" w:lineRule="auto"/>
        <w:jc w:val="center"/>
        <w:rPr>
          <w:rFonts w:ascii="Times New Roman" w:hAnsi="Times New Roman" w:cs="Times New Roman"/>
          <w:b/>
          <w:sz w:val="28"/>
        </w:rPr>
      </w:pPr>
    </w:p>
    <w:p w:rsidR="00293C4C" w:rsidRDefault="00293C4C" w:rsidP="009F6B45">
      <w:pPr>
        <w:spacing w:line="480" w:lineRule="auto"/>
        <w:jc w:val="center"/>
        <w:rPr>
          <w:rFonts w:ascii="Times New Roman" w:hAnsi="Times New Roman" w:cs="Times New Roman"/>
          <w:b/>
          <w:sz w:val="28"/>
        </w:rPr>
      </w:pPr>
    </w:p>
    <w:p w:rsidR="00293C4C" w:rsidRDefault="00293C4C" w:rsidP="009F6B45">
      <w:pPr>
        <w:spacing w:line="480" w:lineRule="auto"/>
        <w:jc w:val="center"/>
        <w:rPr>
          <w:rFonts w:ascii="Times New Roman" w:hAnsi="Times New Roman" w:cs="Times New Roman"/>
          <w:b/>
          <w:sz w:val="28"/>
        </w:rPr>
      </w:pPr>
    </w:p>
    <w:p w:rsidR="00293C4C" w:rsidRDefault="00293C4C" w:rsidP="009F6B45">
      <w:pPr>
        <w:spacing w:line="480" w:lineRule="auto"/>
        <w:jc w:val="center"/>
        <w:rPr>
          <w:rFonts w:ascii="Times New Roman" w:hAnsi="Times New Roman" w:cs="Times New Roman"/>
          <w:b/>
          <w:sz w:val="28"/>
        </w:rPr>
      </w:pPr>
      <w:bookmarkStart w:id="0" w:name="_GoBack"/>
      <w:bookmarkEnd w:id="0"/>
    </w:p>
    <w:p w:rsidR="006C420A" w:rsidRPr="009F6B45" w:rsidRDefault="006C420A" w:rsidP="009F6B45">
      <w:pPr>
        <w:spacing w:line="480" w:lineRule="auto"/>
        <w:jc w:val="center"/>
        <w:rPr>
          <w:rFonts w:ascii="Times New Roman" w:hAnsi="Times New Roman" w:cs="Times New Roman"/>
        </w:rPr>
      </w:pPr>
      <w:r w:rsidRPr="009F6B45">
        <w:rPr>
          <w:rFonts w:ascii="Times New Roman" w:hAnsi="Times New Roman" w:cs="Times New Roman"/>
          <w:b/>
          <w:sz w:val="28"/>
        </w:rPr>
        <w:lastRenderedPageBreak/>
        <w:t>Alternative and Non-Traditional Treatments for Graft Versus Host Disease in Leukemia Patients</w:t>
      </w:r>
    </w:p>
    <w:p w:rsidR="00375353" w:rsidRDefault="000A30B5" w:rsidP="000A30B5">
      <w:pPr>
        <w:spacing w:line="480" w:lineRule="auto"/>
        <w:rPr>
          <w:rFonts w:ascii="Times New Roman" w:hAnsi="Times New Roman" w:cs="Times New Roman"/>
        </w:rPr>
      </w:pPr>
      <w:r>
        <w:rPr>
          <w:rFonts w:ascii="Times New Roman" w:hAnsi="Times New Roman" w:cs="Times New Roman"/>
        </w:rPr>
        <w:tab/>
        <w:t xml:space="preserve">Graft versus host </w:t>
      </w:r>
      <w:r w:rsidR="00894145">
        <w:rPr>
          <w:rFonts w:ascii="Times New Roman" w:hAnsi="Times New Roman" w:cs="Times New Roman"/>
        </w:rPr>
        <w:t>disease</w:t>
      </w:r>
      <w:r w:rsidR="00AA51DB">
        <w:rPr>
          <w:rFonts w:ascii="Times New Roman" w:hAnsi="Times New Roman" w:cs="Times New Roman"/>
        </w:rPr>
        <w:t xml:space="preserve"> (GVHD)</w:t>
      </w:r>
      <w:r w:rsidR="00894145">
        <w:rPr>
          <w:rFonts w:ascii="Times New Roman" w:hAnsi="Times New Roman" w:cs="Times New Roman"/>
        </w:rPr>
        <w:t xml:space="preserve"> is a common, but fatal </w:t>
      </w:r>
      <w:r>
        <w:rPr>
          <w:rFonts w:ascii="Times New Roman" w:hAnsi="Times New Roman" w:cs="Times New Roman"/>
        </w:rPr>
        <w:t xml:space="preserve">transfusion reaction that occurs in many </w:t>
      </w:r>
      <w:r w:rsidR="00894145">
        <w:rPr>
          <w:rFonts w:ascii="Times New Roman" w:hAnsi="Times New Roman" w:cs="Times New Roman"/>
        </w:rPr>
        <w:t xml:space="preserve">leukemia patients undergoing treatment </w:t>
      </w:r>
      <w:r w:rsidR="00BB5CD4">
        <w:rPr>
          <w:rFonts w:ascii="Times New Roman" w:hAnsi="Times New Roman" w:cs="Times New Roman"/>
        </w:rPr>
        <w:t>with</w:t>
      </w:r>
      <w:r w:rsidR="00894145">
        <w:rPr>
          <w:rFonts w:ascii="Times New Roman" w:hAnsi="Times New Roman" w:cs="Times New Roman"/>
        </w:rPr>
        <w:t xml:space="preserve"> bone marrow transplantation</w:t>
      </w:r>
      <w:sdt>
        <w:sdtPr>
          <w:rPr>
            <w:rFonts w:ascii="Times New Roman" w:hAnsi="Times New Roman" w:cs="Times New Roman"/>
          </w:rPr>
          <w:id w:val="-1313009040"/>
          <w:citation/>
        </w:sdtPr>
        <w:sdtContent>
          <w:r w:rsidR="00D80373">
            <w:rPr>
              <w:rFonts w:ascii="Times New Roman" w:hAnsi="Times New Roman" w:cs="Times New Roman"/>
            </w:rPr>
            <w:fldChar w:fldCharType="begin"/>
          </w:r>
          <w:r w:rsidR="00375353">
            <w:rPr>
              <w:rFonts w:ascii="Times New Roman" w:hAnsi="Times New Roman" w:cs="Times New Roman"/>
            </w:rPr>
            <w:instrText xml:space="preserve"> CITATION LiY14 \l 1033 </w:instrText>
          </w:r>
          <w:r w:rsidR="00D80373">
            <w:rPr>
              <w:rFonts w:ascii="Times New Roman" w:hAnsi="Times New Roman" w:cs="Times New Roman"/>
            </w:rPr>
            <w:fldChar w:fldCharType="separate"/>
          </w:r>
          <w:r w:rsidR="00375353">
            <w:rPr>
              <w:rFonts w:ascii="Times New Roman" w:hAnsi="Times New Roman" w:cs="Times New Roman"/>
              <w:noProof/>
            </w:rPr>
            <w:t xml:space="preserve"> </w:t>
          </w:r>
          <w:r w:rsidR="00375353" w:rsidRPr="00375353">
            <w:rPr>
              <w:rFonts w:ascii="Times New Roman" w:hAnsi="Times New Roman" w:cs="Times New Roman"/>
              <w:noProof/>
            </w:rPr>
            <w:t>(Li, et al., 2014)</w:t>
          </w:r>
          <w:r w:rsidR="00D80373">
            <w:rPr>
              <w:rFonts w:ascii="Times New Roman" w:hAnsi="Times New Roman" w:cs="Times New Roman"/>
            </w:rPr>
            <w:fldChar w:fldCharType="end"/>
          </w:r>
        </w:sdtContent>
      </w:sdt>
      <w:r w:rsidR="00894145">
        <w:rPr>
          <w:rFonts w:ascii="Times New Roman" w:hAnsi="Times New Roman" w:cs="Times New Roman"/>
        </w:rPr>
        <w:t xml:space="preserve">. Bone marrow transplantation after treatment with chemotherapy is the traditional treatment for acute </w:t>
      </w:r>
      <w:proofErr w:type="spellStart"/>
      <w:r w:rsidR="00894145">
        <w:rPr>
          <w:rFonts w:ascii="Times New Roman" w:hAnsi="Times New Roman" w:cs="Times New Roman"/>
        </w:rPr>
        <w:t>myele</w:t>
      </w:r>
      <w:r w:rsidR="00C32AE4">
        <w:rPr>
          <w:rFonts w:ascii="Times New Roman" w:hAnsi="Times New Roman" w:cs="Times New Roman"/>
        </w:rPr>
        <w:t>cytic</w:t>
      </w:r>
      <w:proofErr w:type="spellEnd"/>
      <w:r w:rsidR="00894145">
        <w:rPr>
          <w:rFonts w:ascii="Times New Roman" w:hAnsi="Times New Roman" w:cs="Times New Roman"/>
        </w:rPr>
        <w:t xml:space="preserve"> leukemia (AML), acute lymphoblastic leukemia (ALL), and chronic </w:t>
      </w:r>
      <w:proofErr w:type="spellStart"/>
      <w:r w:rsidR="00894145">
        <w:rPr>
          <w:rFonts w:ascii="Times New Roman" w:hAnsi="Times New Roman" w:cs="Times New Roman"/>
        </w:rPr>
        <w:t>myele</w:t>
      </w:r>
      <w:r w:rsidR="00C32AE4">
        <w:rPr>
          <w:rFonts w:ascii="Times New Roman" w:hAnsi="Times New Roman" w:cs="Times New Roman"/>
        </w:rPr>
        <w:t>cytic</w:t>
      </w:r>
      <w:proofErr w:type="spellEnd"/>
      <w:r w:rsidR="00894145">
        <w:rPr>
          <w:rFonts w:ascii="Times New Roman" w:hAnsi="Times New Roman" w:cs="Times New Roman"/>
        </w:rPr>
        <w:t xml:space="preserve"> leukemia (CML)</w:t>
      </w:r>
      <w:r w:rsidR="00551E57">
        <w:rPr>
          <w:rFonts w:ascii="Times New Roman" w:hAnsi="Times New Roman" w:cs="Times New Roman"/>
        </w:rPr>
        <w:t xml:space="preserve"> </w:t>
      </w:r>
      <w:sdt>
        <w:sdtPr>
          <w:rPr>
            <w:rFonts w:ascii="Times New Roman" w:hAnsi="Times New Roman" w:cs="Times New Roman"/>
          </w:rPr>
          <w:id w:val="1913892666"/>
          <w:citation/>
        </w:sdtPr>
        <w:sdtContent>
          <w:r w:rsidR="00D80373">
            <w:rPr>
              <w:rFonts w:ascii="Times New Roman" w:hAnsi="Times New Roman" w:cs="Times New Roman"/>
            </w:rPr>
            <w:fldChar w:fldCharType="begin"/>
          </w:r>
          <w:r w:rsidR="00551E57">
            <w:rPr>
              <w:rFonts w:ascii="Times New Roman" w:hAnsi="Times New Roman" w:cs="Times New Roman"/>
            </w:rPr>
            <w:instrText xml:space="preserve"> CITATION Hor90 \l 1033 </w:instrText>
          </w:r>
          <w:r w:rsidR="00D80373">
            <w:rPr>
              <w:rFonts w:ascii="Times New Roman" w:hAnsi="Times New Roman" w:cs="Times New Roman"/>
            </w:rPr>
            <w:fldChar w:fldCharType="separate"/>
          </w:r>
          <w:r w:rsidR="00551E57" w:rsidRPr="00551E57">
            <w:rPr>
              <w:rFonts w:ascii="Times New Roman" w:hAnsi="Times New Roman" w:cs="Times New Roman"/>
              <w:noProof/>
            </w:rPr>
            <w:t>(Horowitz, et al., 1990)</w:t>
          </w:r>
          <w:r w:rsidR="00D80373">
            <w:rPr>
              <w:rFonts w:ascii="Times New Roman" w:hAnsi="Times New Roman" w:cs="Times New Roman"/>
            </w:rPr>
            <w:fldChar w:fldCharType="end"/>
          </w:r>
        </w:sdtContent>
      </w:sdt>
      <w:r w:rsidR="00894145">
        <w:rPr>
          <w:rFonts w:ascii="Times New Roman" w:hAnsi="Times New Roman" w:cs="Times New Roman"/>
        </w:rPr>
        <w:t xml:space="preserve">. </w:t>
      </w:r>
      <w:r w:rsidR="00551E57">
        <w:rPr>
          <w:rFonts w:ascii="Times New Roman" w:hAnsi="Times New Roman" w:cs="Times New Roman"/>
        </w:rPr>
        <w:t>These cancer patients are treated with chemothera</w:t>
      </w:r>
      <w:r w:rsidR="001C25D5">
        <w:rPr>
          <w:rFonts w:ascii="Times New Roman" w:hAnsi="Times New Roman" w:cs="Times New Roman"/>
        </w:rPr>
        <w:t>py to destroy their blood cells</w:t>
      </w:r>
      <w:r w:rsidR="00551E57">
        <w:rPr>
          <w:rFonts w:ascii="Times New Roman" w:hAnsi="Times New Roman" w:cs="Times New Roman"/>
        </w:rPr>
        <w:t>, then are transplanted with bone marrow cellular therapy products (CTP) that are ideally human leukocyte antigen (HLA) matched and T cell depleted</w:t>
      </w:r>
      <w:r w:rsidR="00055F06">
        <w:rPr>
          <w:rFonts w:ascii="Times New Roman" w:hAnsi="Times New Roman" w:cs="Times New Roman"/>
        </w:rPr>
        <w:t xml:space="preserve"> </w:t>
      </w:r>
      <w:sdt>
        <w:sdtPr>
          <w:rPr>
            <w:rFonts w:ascii="Times New Roman" w:hAnsi="Times New Roman" w:cs="Times New Roman"/>
          </w:rPr>
          <w:id w:val="226659524"/>
          <w:citation/>
        </w:sdtPr>
        <w:sdtContent>
          <w:r w:rsidR="00D80373">
            <w:rPr>
              <w:rFonts w:ascii="Times New Roman" w:hAnsi="Times New Roman" w:cs="Times New Roman"/>
            </w:rPr>
            <w:fldChar w:fldCharType="begin"/>
          </w:r>
          <w:r w:rsidR="00055F06">
            <w:rPr>
              <w:rFonts w:ascii="Times New Roman" w:hAnsi="Times New Roman" w:cs="Times New Roman"/>
            </w:rPr>
            <w:instrText xml:space="preserve"> CITATION JAG16 \l 1033 </w:instrText>
          </w:r>
          <w:r w:rsidR="00D80373">
            <w:rPr>
              <w:rFonts w:ascii="Times New Roman" w:hAnsi="Times New Roman" w:cs="Times New Roman"/>
            </w:rPr>
            <w:fldChar w:fldCharType="separate"/>
          </w:r>
          <w:r w:rsidR="00055F06" w:rsidRPr="00055F06">
            <w:rPr>
              <w:rFonts w:ascii="Times New Roman" w:hAnsi="Times New Roman" w:cs="Times New Roman"/>
              <w:noProof/>
            </w:rPr>
            <w:t>(Gutman, Ross, Smith, Myint, &amp; Lee, 2016)</w:t>
          </w:r>
          <w:r w:rsidR="00D80373">
            <w:rPr>
              <w:rFonts w:ascii="Times New Roman" w:hAnsi="Times New Roman" w:cs="Times New Roman"/>
            </w:rPr>
            <w:fldChar w:fldCharType="end"/>
          </w:r>
        </w:sdtContent>
      </w:sdt>
      <w:r w:rsidR="00551E57">
        <w:rPr>
          <w:rFonts w:ascii="Times New Roman" w:hAnsi="Times New Roman" w:cs="Times New Roman"/>
        </w:rPr>
        <w:t>.</w:t>
      </w:r>
      <w:r w:rsidR="00263052">
        <w:rPr>
          <w:rFonts w:ascii="Times New Roman" w:hAnsi="Times New Roman" w:cs="Times New Roman"/>
        </w:rPr>
        <w:t xml:space="preserve"> These requirements of the CTP </w:t>
      </w:r>
      <w:r w:rsidR="00551E57">
        <w:rPr>
          <w:rFonts w:ascii="Times New Roman" w:hAnsi="Times New Roman" w:cs="Times New Roman"/>
        </w:rPr>
        <w:t xml:space="preserve">help reduce the risk of the donor </w:t>
      </w:r>
      <w:r w:rsidR="00263052">
        <w:rPr>
          <w:rFonts w:ascii="Times New Roman" w:hAnsi="Times New Roman" w:cs="Times New Roman"/>
        </w:rPr>
        <w:t xml:space="preserve">T lymphocytes from attacking foreign, unmatched HLA of the recipient which would result in engraftment leading to severe transfusion complications (GVHD) </w:t>
      </w:r>
      <w:sdt>
        <w:sdtPr>
          <w:rPr>
            <w:rFonts w:ascii="Times New Roman" w:hAnsi="Times New Roman" w:cs="Times New Roman"/>
          </w:rPr>
          <w:id w:val="82498743"/>
          <w:citation/>
        </w:sdtPr>
        <w:sdtContent>
          <w:r w:rsidR="00D80373">
            <w:rPr>
              <w:rFonts w:ascii="Times New Roman" w:hAnsi="Times New Roman" w:cs="Times New Roman"/>
            </w:rPr>
            <w:fldChar w:fldCharType="begin"/>
          </w:r>
          <w:r w:rsidR="00263052">
            <w:rPr>
              <w:rFonts w:ascii="Times New Roman" w:hAnsi="Times New Roman" w:cs="Times New Roman"/>
            </w:rPr>
            <w:instrText xml:space="preserve"> CITATION LiY14 \l 1033 </w:instrText>
          </w:r>
          <w:r w:rsidR="00D80373">
            <w:rPr>
              <w:rFonts w:ascii="Times New Roman" w:hAnsi="Times New Roman" w:cs="Times New Roman"/>
            </w:rPr>
            <w:fldChar w:fldCharType="separate"/>
          </w:r>
          <w:r w:rsidR="00263052" w:rsidRPr="00263052">
            <w:rPr>
              <w:rFonts w:ascii="Times New Roman" w:hAnsi="Times New Roman" w:cs="Times New Roman"/>
              <w:noProof/>
            </w:rPr>
            <w:t>(Li, et al., 2014)</w:t>
          </w:r>
          <w:r w:rsidR="00D80373">
            <w:rPr>
              <w:rFonts w:ascii="Times New Roman" w:hAnsi="Times New Roman" w:cs="Times New Roman"/>
            </w:rPr>
            <w:fldChar w:fldCharType="end"/>
          </w:r>
        </w:sdtContent>
      </w:sdt>
      <w:r w:rsidR="00263052">
        <w:rPr>
          <w:rFonts w:ascii="Times New Roman" w:hAnsi="Times New Roman" w:cs="Times New Roman"/>
        </w:rPr>
        <w:t xml:space="preserve">. </w:t>
      </w:r>
      <w:r w:rsidR="00375353">
        <w:rPr>
          <w:rFonts w:ascii="Times New Roman" w:hAnsi="Times New Roman" w:cs="Times New Roman"/>
        </w:rPr>
        <w:t xml:space="preserve"> </w:t>
      </w:r>
    </w:p>
    <w:p w:rsidR="000A30B5" w:rsidRDefault="00263052" w:rsidP="00375353">
      <w:pPr>
        <w:spacing w:line="480" w:lineRule="auto"/>
        <w:ind w:firstLine="720"/>
        <w:rPr>
          <w:rFonts w:ascii="Times New Roman" w:hAnsi="Times New Roman" w:cs="Times New Roman"/>
        </w:rPr>
      </w:pPr>
      <w:r>
        <w:rPr>
          <w:rFonts w:ascii="Times New Roman" w:hAnsi="Times New Roman" w:cs="Times New Roman"/>
        </w:rPr>
        <w:t xml:space="preserve">In </w:t>
      </w:r>
      <w:r w:rsidR="00BB5CD4">
        <w:rPr>
          <w:rFonts w:ascii="Times New Roman" w:hAnsi="Times New Roman" w:cs="Times New Roman"/>
        </w:rPr>
        <w:t>ideal situations</w:t>
      </w:r>
      <w:r>
        <w:rPr>
          <w:rFonts w:ascii="Times New Roman" w:hAnsi="Times New Roman" w:cs="Times New Roman"/>
        </w:rPr>
        <w:t>, the transplanted bone marrow would take over in the recipient and start making new, disease free blood cells to replace the cancerous cells</w:t>
      </w:r>
      <w:sdt>
        <w:sdtPr>
          <w:rPr>
            <w:rFonts w:ascii="Times New Roman" w:hAnsi="Times New Roman" w:cs="Times New Roman"/>
          </w:rPr>
          <w:id w:val="1140082531"/>
          <w:citation/>
        </w:sdtPr>
        <w:sdtContent>
          <w:r w:rsidR="00D80373">
            <w:rPr>
              <w:rFonts w:ascii="Times New Roman" w:hAnsi="Times New Roman" w:cs="Times New Roman"/>
            </w:rPr>
            <w:fldChar w:fldCharType="begin"/>
          </w:r>
          <w:r w:rsidR="001C25D5">
            <w:rPr>
              <w:rFonts w:ascii="Times New Roman" w:hAnsi="Times New Roman" w:cs="Times New Roman"/>
            </w:rPr>
            <w:instrText xml:space="preserve"> CITATION JAG16 \l 1033 </w:instrText>
          </w:r>
          <w:r w:rsidR="00D80373">
            <w:rPr>
              <w:rFonts w:ascii="Times New Roman" w:hAnsi="Times New Roman" w:cs="Times New Roman"/>
            </w:rPr>
            <w:fldChar w:fldCharType="separate"/>
          </w:r>
          <w:r w:rsidR="001C25D5">
            <w:rPr>
              <w:rFonts w:ascii="Times New Roman" w:hAnsi="Times New Roman" w:cs="Times New Roman"/>
              <w:noProof/>
            </w:rPr>
            <w:t xml:space="preserve"> </w:t>
          </w:r>
          <w:r w:rsidR="001C25D5" w:rsidRPr="001C25D5">
            <w:rPr>
              <w:rFonts w:ascii="Times New Roman" w:hAnsi="Times New Roman" w:cs="Times New Roman"/>
              <w:noProof/>
            </w:rPr>
            <w:t>(Gutman, Ross, Smith, Myint, &amp; Lee, 2016)</w:t>
          </w:r>
          <w:r w:rsidR="00D80373">
            <w:rPr>
              <w:rFonts w:ascii="Times New Roman" w:hAnsi="Times New Roman" w:cs="Times New Roman"/>
            </w:rPr>
            <w:fldChar w:fldCharType="end"/>
          </w:r>
        </w:sdtContent>
      </w:sdt>
      <w:r>
        <w:rPr>
          <w:rFonts w:ascii="Times New Roman" w:hAnsi="Times New Roman" w:cs="Times New Roman"/>
        </w:rPr>
        <w:t xml:space="preserve">. This treatment is often supported with the irradiation of blood products given to the patient before and after bone marrow </w:t>
      </w:r>
      <w:r w:rsidR="00C806C5">
        <w:rPr>
          <w:rFonts w:ascii="Times New Roman" w:hAnsi="Times New Roman" w:cs="Times New Roman"/>
        </w:rPr>
        <w:t>transplantation</w:t>
      </w:r>
      <w:r>
        <w:rPr>
          <w:rFonts w:ascii="Times New Roman" w:hAnsi="Times New Roman" w:cs="Times New Roman"/>
        </w:rPr>
        <w:t xml:space="preserve"> to reduce the risk of foreign HLA being introduced into the </w:t>
      </w:r>
      <w:r w:rsidR="00C806C5">
        <w:rPr>
          <w:rFonts w:ascii="Times New Roman" w:hAnsi="Times New Roman" w:cs="Times New Roman"/>
        </w:rPr>
        <w:t>patient, which would result in GVHD</w:t>
      </w:r>
      <w:sdt>
        <w:sdtPr>
          <w:rPr>
            <w:rFonts w:ascii="Times New Roman" w:hAnsi="Times New Roman" w:cs="Times New Roman"/>
          </w:rPr>
          <w:id w:val="2090881105"/>
          <w:citation/>
        </w:sdtPr>
        <w:sdtContent>
          <w:r w:rsidR="00D80373">
            <w:rPr>
              <w:rFonts w:ascii="Times New Roman" w:hAnsi="Times New Roman" w:cs="Times New Roman"/>
            </w:rPr>
            <w:fldChar w:fldCharType="begin"/>
          </w:r>
          <w:r w:rsidR="001C25D5">
            <w:rPr>
              <w:rFonts w:ascii="Times New Roman" w:hAnsi="Times New Roman" w:cs="Times New Roman"/>
            </w:rPr>
            <w:instrText xml:space="preserve"> CITATION LiY14 \l 1033 </w:instrText>
          </w:r>
          <w:r w:rsidR="00D80373">
            <w:rPr>
              <w:rFonts w:ascii="Times New Roman" w:hAnsi="Times New Roman" w:cs="Times New Roman"/>
            </w:rPr>
            <w:fldChar w:fldCharType="separate"/>
          </w:r>
          <w:r w:rsidR="001C25D5">
            <w:rPr>
              <w:rFonts w:ascii="Times New Roman" w:hAnsi="Times New Roman" w:cs="Times New Roman"/>
              <w:noProof/>
            </w:rPr>
            <w:t xml:space="preserve"> </w:t>
          </w:r>
          <w:r w:rsidR="001C25D5" w:rsidRPr="001C25D5">
            <w:rPr>
              <w:rFonts w:ascii="Times New Roman" w:hAnsi="Times New Roman" w:cs="Times New Roman"/>
              <w:noProof/>
            </w:rPr>
            <w:t>(Li, et al., 2014)</w:t>
          </w:r>
          <w:r w:rsidR="00D80373">
            <w:rPr>
              <w:rFonts w:ascii="Times New Roman" w:hAnsi="Times New Roman" w:cs="Times New Roman"/>
            </w:rPr>
            <w:fldChar w:fldCharType="end"/>
          </w:r>
        </w:sdtContent>
      </w:sdt>
      <w:r w:rsidR="00C806C5">
        <w:rPr>
          <w:rFonts w:ascii="Times New Roman" w:hAnsi="Times New Roman" w:cs="Times New Roman"/>
        </w:rPr>
        <w:t>. I</w:t>
      </w:r>
      <w:r>
        <w:rPr>
          <w:rFonts w:ascii="Times New Roman" w:hAnsi="Times New Roman" w:cs="Times New Roman"/>
        </w:rPr>
        <w:t xml:space="preserve">mmunosuppressant drug therapy </w:t>
      </w:r>
      <w:r w:rsidR="00C806C5">
        <w:rPr>
          <w:rFonts w:ascii="Times New Roman" w:hAnsi="Times New Roman" w:cs="Times New Roman"/>
        </w:rPr>
        <w:t xml:space="preserve">is also part of post transfusion treatment </w:t>
      </w:r>
      <w:r w:rsidR="00FE40DA">
        <w:rPr>
          <w:rFonts w:ascii="Times New Roman" w:hAnsi="Times New Roman" w:cs="Times New Roman"/>
        </w:rPr>
        <w:t>to down regulate</w:t>
      </w:r>
      <w:r>
        <w:rPr>
          <w:rFonts w:ascii="Times New Roman" w:hAnsi="Times New Roman" w:cs="Times New Roman"/>
        </w:rPr>
        <w:t xml:space="preserve"> the </w:t>
      </w:r>
      <w:r w:rsidR="001C25D5">
        <w:rPr>
          <w:rFonts w:ascii="Times New Roman" w:hAnsi="Times New Roman" w:cs="Times New Roman"/>
        </w:rPr>
        <w:t xml:space="preserve">recipient’s </w:t>
      </w:r>
      <w:r>
        <w:rPr>
          <w:rFonts w:ascii="Times New Roman" w:hAnsi="Times New Roman" w:cs="Times New Roman"/>
        </w:rPr>
        <w:t>immune response</w:t>
      </w:r>
      <w:r w:rsidR="001C25D5">
        <w:rPr>
          <w:rFonts w:ascii="Times New Roman" w:hAnsi="Times New Roman" w:cs="Times New Roman"/>
        </w:rPr>
        <w:t xml:space="preserve"> to the non-self bone marrow </w:t>
      </w:r>
      <w:sdt>
        <w:sdtPr>
          <w:rPr>
            <w:rFonts w:ascii="Times New Roman" w:hAnsi="Times New Roman" w:cs="Times New Roman"/>
          </w:rPr>
          <w:id w:val="-363518915"/>
          <w:citation/>
        </w:sdtPr>
        <w:sdtContent>
          <w:r w:rsidR="00D80373">
            <w:rPr>
              <w:rFonts w:ascii="Times New Roman" w:hAnsi="Times New Roman" w:cs="Times New Roman"/>
            </w:rPr>
            <w:fldChar w:fldCharType="begin"/>
          </w:r>
          <w:r>
            <w:rPr>
              <w:rFonts w:ascii="Times New Roman" w:hAnsi="Times New Roman" w:cs="Times New Roman"/>
            </w:rPr>
            <w:instrText xml:space="preserve"> CITATION LiY14 \l 1033 </w:instrText>
          </w:r>
          <w:r w:rsidR="00D80373">
            <w:rPr>
              <w:rFonts w:ascii="Times New Roman" w:hAnsi="Times New Roman" w:cs="Times New Roman"/>
            </w:rPr>
            <w:fldChar w:fldCharType="separate"/>
          </w:r>
          <w:r w:rsidRPr="00263052">
            <w:rPr>
              <w:rFonts w:ascii="Times New Roman" w:hAnsi="Times New Roman" w:cs="Times New Roman"/>
              <w:noProof/>
            </w:rPr>
            <w:t>(Li, et al., 2014)</w:t>
          </w:r>
          <w:r w:rsidR="00D80373">
            <w:rPr>
              <w:rFonts w:ascii="Times New Roman" w:hAnsi="Times New Roman" w:cs="Times New Roman"/>
            </w:rPr>
            <w:fldChar w:fldCharType="end"/>
          </w:r>
        </w:sdtContent>
      </w:sdt>
      <w:r>
        <w:rPr>
          <w:rFonts w:ascii="Times New Roman" w:hAnsi="Times New Roman" w:cs="Times New Roman"/>
        </w:rPr>
        <w:t>. Immunosuppressive drug therapy consists of high dose steroids. These steroids are mostly effective in eliminating the immune response to the transplanted cells, but occasionally, patients can become steroid refractory</w:t>
      </w:r>
      <w:r w:rsidR="00C806C5">
        <w:rPr>
          <w:rFonts w:ascii="Times New Roman" w:hAnsi="Times New Roman" w:cs="Times New Roman"/>
        </w:rPr>
        <w:t>, which is detrimental to the post transfusion therapy treatment regimen</w:t>
      </w:r>
      <w:r>
        <w:rPr>
          <w:rFonts w:ascii="Times New Roman" w:hAnsi="Times New Roman" w:cs="Times New Roman"/>
        </w:rPr>
        <w:t xml:space="preserve"> </w:t>
      </w:r>
      <w:sdt>
        <w:sdtPr>
          <w:rPr>
            <w:rFonts w:ascii="Times New Roman" w:hAnsi="Times New Roman" w:cs="Times New Roman"/>
          </w:rPr>
          <w:id w:val="864639140"/>
          <w:citation/>
        </w:sdtPr>
        <w:sdtContent>
          <w:r w:rsidR="00D80373">
            <w:rPr>
              <w:rFonts w:ascii="Times New Roman" w:hAnsi="Times New Roman" w:cs="Times New Roman"/>
            </w:rPr>
            <w:fldChar w:fldCharType="begin"/>
          </w:r>
          <w:r>
            <w:rPr>
              <w:rFonts w:ascii="Times New Roman" w:hAnsi="Times New Roman" w:cs="Times New Roman"/>
            </w:rPr>
            <w:instrText xml:space="preserve"> CITATION Hol16 \l 1033 </w:instrText>
          </w:r>
          <w:r w:rsidR="00D80373">
            <w:rPr>
              <w:rFonts w:ascii="Times New Roman" w:hAnsi="Times New Roman" w:cs="Times New Roman"/>
            </w:rPr>
            <w:fldChar w:fldCharType="separate"/>
          </w:r>
          <w:r w:rsidRPr="00263052">
            <w:rPr>
              <w:rFonts w:ascii="Times New Roman" w:hAnsi="Times New Roman" w:cs="Times New Roman"/>
              <w:noProof/>
            </w:rPr>
            <w:t xml:space="preserve">(Holtan &amp; </w:t>
          </w:r>
          <w:r w:rsidRPr="00263052">
            <w:rPr>
              <w:rFonts w:ascii="Times New Roman" w:hAnsi="Times New Roman" w:cs="Times New Roman"/>
              <w:noProof/>
            </w:rPr>
            <w:lastRenderedPageBreak/>
            <w:t>Arora, 2016)</w:t>
          </w:r>
          <w:r w:rsidR="00D80373">
            <w:rPr>
              <w:rFonts w:ascii="Times New Roman" w:hAnsi="Times New Roman" w:cs="Times New Roman"/>
            </w:rPr>
            <w:fldChar w:fldCharType="end"/>
          </w:r>
        </w:sdtContent>
      </w:sdt>
      <w:r>
        <w:rPr>
          <w:rFonts w:ascii="Times New Roman" w:hAnsi="Times New Roman" w:cs="Times New Roman"/>
        </w:rPr>
        <w:t>.</w:t>
      </w:r>
      <w:r w:rsidR="006C420A">
        <w:rPr>
          <w:rFonts w:ascii="Times New Roman" w:hAnsi="Times New Roman" w:cs="Times New Roman"/>
        </w:rPr>
        <w:t xml:space="preserve"> When patients are unresponsive to steroid treatment, chronic GVHD becomes a problem and can cause severe inflammation of major organ systems</w:t>
      </w:r>
      <w:sdt>
        <w:sdtPr>
          <w:rPr>
            <w:rFonts w:ascii="Times New Roman" w:hAnsi="Times New Roman" w:cs="Times New Roman"/>
          </w:rPr>
          <w:id w:val="-572202210"/>
          <w:citation/>
        </w:sdtPr>
        <w:sdtContent>
          <w:r w:rsidR="00D80373">
            <w:rPr>
              <w:rFonts w:ascii="Times New Roman" w:hAnsi="Times New Roman" w:cs="Times New Roman"/>
            </w:rPr>
            <w:fldChar w:fldCharType="begin"/>
          </w:r>
          <w:r w:rsidR="006C420A">
            <w:rPr>
              <w:rFonts w:ascii="Times New Roman" w:hAnsi="Times New Roman" w:cs="Times New Roman"/>
            </w:rPr>
            <w:instrText xml:space="preserve"> CITATION Hol16 \l 1033 </w:instrText>
          </w:r>
          <w:r w:rsidR="00D80373">
            <w:rPr>
              <w:rFonts w:ascii="Times New Roman" w:hAnsi="Times New Roman" w:cs="Times New Roman"/>
            </w:rPr>
            <w:fldChar w:fldCharType="separate"/>
          </w:r>
          <w:r w:rsidR="006C420A">
            <w:rPr>
              <w:rFonts w:ascii="Times New Roman" w:hAnsi="Times New Roman" w:cs="Times New Roman"/>
              <w:noProof/>
            </w:rPr>
            <w:t xml:space="preserve"> </w:t>
          </w:r>
          <w:r w:rsidR="006C420A" w:rsidRPr="006C420A">
            <w:rPr>
              <w:rFonts w:ascii="Times New Roman" w:hAnsi="Times New Roman" w:cs="Times New Roman"/>
              <w:noProof/>
            </w:rPr>
            <w:t>(Holtan &amp; Arora, 2016)</w:t>
          </w:r>
          <w:r w:rsidR="00D80373">
            <w:rPr>
              <w:rFonts w:ascii="Times New Roman" w:hAnsi="Times New Roman" w:cs="Times New Roman"/>
            </w:rPr>
            <w:fldChar w:fldCharType="end"/>
          </w:r>
        </w:sdtContent>
      </w:sdt>
      <w:r w:rsidR="006C420A">
        <w:rPr>
          <w:rFonts w:ascii="Times New Roman" w:hAnsi="Times New Roman" w:cs="Times New Roman"/>
        </w:rPr>
        <w:t>.</w:t>
      </w:r>
      <w:r w:rsidR="00C806C5">
        <w:rPr>
          <w:rFonts w:ascii="Times New Roman" w:hAnsi="Times New Roman" w:cs="Times New Roman"/>
        </w:rPr>
        <w:t xml:space="preserve"> Despite the mostly effective post transfusion treatments that are available for these patients, there are still many cases of GVHD that need to be addressed with alternative therapies. </w:t>
      </w:r>
    </w:p>
    <w:p w:rsidR="00A75E76" w:rsidRDefault="00C806C5" w:rsidP="000A30B5">
      <w:pPr>
        <w:spacing w:line="480" w:lineRule="auto"/>
        <w:rPr>
          <w:rFonts w:ascii="Times New Roman" w:hAnsi="Times New Roman" w:cs="Times New Roman"/>
        </w:rPr>
      </w:pPr>
      <w:r>
        <w:rPr>
          <w:rFonts w:ascii="Times New Roman" w:hAnsi="Times New Roman" w:cs="Times New Roman"/>
        </w:rPr>
        <w:tab/>
        <w:t>Recently, studies</w:t>
      </w:r>
      <w:r w:rsidR="00055F06">
        <w:rPr>
          <w:rFonts w:ascii="Times New Roman" w:hAnsi="Times New Roman" w:cs="Times New Roman"/>
        </w:rPr>
        <w:t xml:space="preserve"> have shown that an alternative, </w:t>
      </w:r>
      <w:r w:rsidR="00A75E76">
        <w:rPr>
          <w:rFonts w:ascii="Times New Roman" w:hAnsi="Times New Roman" w:cs="Times New Roman"/>
        </w:rPr>
        <w:t>non-traditional</w:t>
      </w:r>
      <w:r w:rsidR="00055F06">
        <w:rPr>
          <w:rFonts w:ascii="Times New Roman" w:hAnsi="Times New Roman" w:cs="Times New Roman"/>
        </w:rPr>
        <w:t xml:space="preserve"> </w:t>
      </w:r>
      <w:r>
        <w:rPr>
          <w:rFonts w:ascii="Times New Roman" w:hAnsi="Times New Roman" w:cs="Times New Roman"/>
        </w:rPr>
        <w:t>cellular therapy product, allogeneic cord blood, is just as, if not more effective for treatment of leukemia compared to the widespread and traditional use of bone marrow CTP</w:t>
      </w:r>
      <w:r w:rsidR="00055F06">
        <w:rPr>
          <w:rFonts w:ascii="Times New Roman" w:hAnsi="Times New Roman" w:cs="Times New Roman"/>
        </w:rPr>
        <w:t xml:space="preserve"> </w:t>
      </w:r>
      <w:sdt>
        <w:sdtPr>
          <w:rPr>
            <w:rFonts w:ascii="Times New Roman" w:hAnsi="Times New Roman" w:cs="Times New Roman"/>
          </w:rPr>
          <w:id w:val="-414788797"/>
          <w:citation/>
        </w:sdtPr>
        <w:sdtContent>
          <w:r w:rsidR="00D80373">
            <w:rPr>
              <w:rFonts w:ascii="Times New Roman" w:hAnsi="Times New Roman" w:cs="Times New Roman"/>
            </w:rPr>
            <w:fldChar w:fldCharType="begin"/>
          </w:r>
          <w:r w:rsidR="00055F06">
            <w:rPr>
              <w:rFonts w:ascii="Times New Roman" w:hAnsi="Times New Roman" w:cs="Times New Roman"/>
            </w:rPr>
            <w:instrText xml:space="preserve">CITATION JAG16 \l 1033 </w:instrText>
          </w:r>
          <w:r w:rsidR="00D80373">
            <w:rPr>
              <w:rFonts w:ascii="Times New Roman" w:hAnsi="Times New Roman" w:cs="Times New Roman"/>
            </w:rPr>
            <w:fldChar w:fldCharType="separate"/>
          </w:r>
          <w:r w:rsidR="00055F06" w:rsidRPr="00055F06">
            <w:rPr>
              <w:rFonts w:ascii="Times New Roman" w:hAnsi="Times New Roman" w:cs="Times New Roman"/>
              <w:noProof/>
            </w:rPr>
            <w:t>(Gutman, Ross, Smith, Myint, &amp; Lee, 2016)</w:t>
          </w:r>
          <w:r w:rsidR="00D80373">
            <w:rPr>
              <w:rFonts w:ascii="Times New Roman" w:hAnsi="Times New Roman" w:cs="Times New Roman"/>
            </w:rPr>
            <w:fldChar w:fldCharType="end"/>
          </w:r>
        </w:sdtContent>
      </w:sdt>
      <w:r>
        <w:rPr>
          <w:rFonts w:ascii="Times New Roman" w:hAnsi="Times New Roman" w:cs="Times New Roman"/>
        </w:rPr>
        <w:t xml:space="preserve">. The study compared GVHD occurrences of those who had been treated with bone marrow to those treated with cord blood. Results showed that </w:t>
      </w:r>
      <w:r w:rsidR="00055F06">
        <w:rPr>
          <w:rFonts w:ascii="Times New Roman" w:hAnsi="Times New Roman" w:cs="Times New Roman"/>
        </w:rPr>
        <w:t xml:space="preserve">three years post transplant, the patients who received HLA matched bone marrow from non relatives had a 44 percent occurrence of GVHD, but those who received cord blood treatment only had 8 percent </w:t>
      </w:r>
      <w:r w:rsidR="001C25D5">
        <w:rPr>
          <w:rFonts w:ascii="Times New Roman" w:hAnsi="Times New Roman" w:cs="Times New Roman"/>
        </w:rPr>
        <w:t xml:space="preserve">of patients </w:t>
      </w:r>
      <w:r w:rsidR="00055F06">
        <w:rPr>
          <w:rFonts w:ascii="Times New Roman" w:hAnsi="Times New Roman" w:cs="Times New Roman"/>
        </w:rPr>
        <w:t>result in GVHD reactions</w:t>
      </w:r>
      <w:sdt>
        <w:sdtPr>
          <w:rPr>
            <w:rFonts w:ascii="Times New Roman" w:hAnsi="Times New Roman" w:cs="Times New Roman"/>
          </w:rPr>
          <w:id w:val="-633873646"/>
          <w:citation/>
        </w:sdtPr>
        <w:sdtContent>
          <w:r w:rsidR="00D80373">
            <w:rPr>
              <w:rFonts w:ascii="Times New Roman" w:hAnsi="Times New Roman" w:cs="Times New Roman"/>
            </w:rPr>
            <w:fldChar w:fldCharType="begin"/>
          </w:r>
          <w:r w:rsidR="00055F06">
            <w:rPr>
              <w:rFonts w:ascii="Times New Roman" w:hAnsi="Times New Roman" w:cs="Times New Roman"/>
            </w:rPr>
            <w:instrText xml:space="preserve"> CITATION JAG16 \l 1033 </w:instrText>
          </w:r>
          <w:r w:rsidR="00D80373">
            <w:rPr>
              <w:rFonts w:ascii="Times New Roman" w:hAnsi="Times New Roman" w:cs="Times New Roman"/>
            </w:rPr>
            <w:fldChar w:fldCharType="separate"/>
          </w:r>
          <w:r w:rsidR="00055F06">
            <w:rPr>
              <w:rFonts w:ascii="Times New Roman" w:hAnsi="Times New Roman" w:cs="Times New Roman"/>
              <w:noProof/>
            </w:rPr>
            <w:t xml:space="preserve"> </w:t>
          </w:r>
          <w:r w:rsidR="00055F06" w:rsidRPr="00055F06">
            <w:rPr>
              <w:rFonts w:ascii="Times New Roman" w:hAnsi="Times New Roman" w:cs="Times New Roman"/>
              <w:noProof/>
            </w:rPr>
            <w:t>(Gutman, Ross, Smith, Myint, &amp; Lee, 2016)</w:t>
          </w:r>
          <w:r w:rsidR="00D80373">
            <w:rPr>
              <w:rFonts w:ascii="Times New Roman" w:hAnsi="Times New Roman" w:cs="Times New Roman"/>
            </w:rPr>
            <w:fldChar w:fldCharType="end"/>
          </w:r>
        </w:sdtContent>
      </w:sdt>
      <w:r w:rsidR="00055F06">
        <w:rPr>
          <w:rFonts w:ascii="Times New Roman" w:hAnsi="Times New Roman" w:cs="Times New Roman"/>
        </w:rPr>
        <w:t xml:space="preserve">. </w:t>
      </w:r>
      <w:r w:rsidR="00671C28">
        <w:rPr>
          <w:rFonts w:ascii="Times New Roman" w:hAnsi="Times New Roman" w:cs="Times New Roman"/>
        </w:rPr>
        <w:t xml:space="preserve">Before the </w:t>
      </w:r>
      <w:r w:rsidR="00A75E76">
        <w:rPr>
          <w:rFonts w:ascii="Times New Roman" w:hAnsi="Times New Roman" w:cs="Times New Roman"/>
        </w:rPr>
        <w:t>three-year</w:t>
      </w:r>
      <w:r w:rsidR="00671C28">
        <w:rPr>
          <w:rFonts w:ascii="Times New Roman" w:hAnsi="Times New Roman" w:cs="Times New Roman"/>
        </w:rPr>
        <w:t xml:space="preserve"> evaluation, the treatment with bone marrow had a 68 percent occurrence of GVHD and cord blood recipients had a 32 percent occurrence</w:t>
      </w:r>
      <w:sdt>
        <w:sdtPr>
          <w:rPr>
            <w:rFonts w:ascii="Times New Roman" w:hAnsi="Times New Roman" w:cs="Times New Roman"/>
          </w:rPr>
          <w:id w:val="1401638561"/>
          <w:citation/>
        </w:sdtPr>
        <w:sdtContent>
          <w:r w:rsidR="00D80373">
            <w:rPr>
              <w:rFonts w:ascii="Times New Roman" w:hAnsi="Times New Roman" w:cs="Times New Roman"/>
            </w:rPr>
            <w:fldChar w:fldCharType="begin"/>
          </w:r>
          <w:r w:rsidR="001C25D5">
            <w:rPr>
              <w:rFonts w:ascii="Times New Roman" w:hAnsi="Times New Roman" w:cs="Times New Roman"/>
            </w:rPr>
            <w:instrText xml:space="preserve"> CITATION JAG16 \l 1033 </w:instrText>
          </w:r>
          <w:r w:rsidR="00D80373">
            <w:rPr>
              <w:rFonts w:ascii="Times New Roman" w:hAnsi="Times New Roman" w:cs="Times New Roman"/>
            </w:rPr>
            <w:fldChar w:fldCharType="separate"/>
          </w:r>
          <w:r w:rsidR="001C25D5">
            <w:rPr>
              <w:rFonts w:ascii="Times New Roman" w:hAnsi="Times New Roman" w:cs="Times New Roman"/>
              <w:noProof/>
            </w:rPr>
            <w:t xml:space="preserve"> </w:t>
          </w:r>
          <w:r w:rsidR="001C25D5" w:rsidRPr="001C25D5">
            <w:rPr>
              <w:rFonts w:ascii="Times New Roman" w:hAnsi="Times New Roman" w:cs="Times New Roman"/>
              <w:noProof/>
            </w:rPr>
            <w:t>(Gutman, Ross, Smith, Myint, &amp; Lee, 2016)</w:t>
          </w:r>
          <w:r w:rsidR="00D80373">
            <w:rPr>
              <w:rFonts w:ascii="Times New Roman" w:hAnsi="Times New Roman" w:cs="Times New Roman"/>
            </w:rPr>
            <w:fldChar w:fldCharType="end"/>
          </w:r>
        </w:sdtContent>
      </w:sdt>
      <w:r w:rsidR="00671C28">
        <w:rPr>
          <w:rFonts w:ascii="Times New Roman" w:hAnsi="Times New Roman" w:cs="Times New Roman"/>
        </w:rPr>
        <w:t xml:space="preserve">. The </w:t>
      </w:r>
      <w:r w:rsidR="00A75E76">
        <w:rPr>
          <w:rFonts w:ascii="Times New Roman" w:hAnsi="Times New Roman" w:cs="Times New Roman"/>
        </w:rPr>
        <w:t>researchers</w:t>
      </w:r>
      <w:r w:rsidR="00671C28">
        <w:rPr>
          <w:rFonts w:ascii="Times New Roman" w:hAnsi="Times New Roman" w:cs="Times New Roman"/>
        </w:rPr>
        <w:t xml:space="preserve"> also found that </w:t>
      </w:r>
      <w:r w:rsidR="00A75E76">
        <w:rPr>
          <w:rFonts w:ascii="Times New Roman" w:hAnsi="Times New Roman" w:cs="Times New Roman"/>
        </w:rPr>
        <w:t xml:space="preserve">leukemia patients </w:t>
      </w:r>
      <w:r w:rsidR="00FE40DA">
        <w:rPr>
          <w:rFonts w:ascii="Times New Roman" w:hAnsi="Times New Roman" w:cs="Times New Roman"/>
        </w:rPr>
        <w:t xml:space="preserve">treated with cord blood </w:t>
      </w:r>
      <w:r w:rsidR="00A75E76">
        <w:rPr>
          <w:rFonts w:ascii="Times New Roman" w:hAnsi="Times New Roman" w:cs="Times New Roman"/>
        </w:rPr>
        <w:t xml:space="preserve">were able to stop immunosuppressive therapy around 268 days after transplantation, yet bone marrow treated patients were still required to be on steroid drugs </w:t>
      </w:r>
      <w:sdt>
        <w:sdtPr>
          <w:rPr>
            <w:rFonts w:ascii="Times New Roman" w:hAnsi="Times New Roman" w:cs="Times New Roman"/>
          </w:rPr>
          <w:id w:val="1473556656"/>
          <w:citation/>
        </w:sdtPr>
        <w:sdtContent>
          <w:r w:rsidR="00D80373">
            <w:rPr>
              <w:rFonts w:ascii="Times New Roman" w:hAnsi="Times New Roman" w:cs="Times New Roman"/>
            </w:rPr>
            <w:fldChar w:fldCharType="begin"/>
          </w:r>
          <w:r w:rsidR="00A75E76">
            <w:rPr>
              <w:rFonts w:ascii="Times New Roman" w:hAnsi="Times New Roman" w:cs="Times New Roman"/>
            </w:rPr>
            <w:instrText xml:space="preserve"> CITATION JAG16 \l 1033 </w:instrText>
          </w:r>
          <w:r w:rsidR="00D80373">
            <w:rPr>
              <w:rFonts w:ascii="Times New Roman" w:hAnsi="Times New Roman" w:cs="Times New Roman"/>
            </w:rPr>
            <w:fldChar w:fldCharType="separate"/>
          </w:r>
          <w:r w:rsidR="00A75E76" w:rsidRPr="00A75E76">
            <w:rPr>
              <w:rFonts w:ascii="Times New Roman" w:hAnsi="Times New Roman" w:cs="Times New Roman"/>
              <w:noProof/>
            </w:rPr>
            <w:t>(Gutman, Ross, Smith, Myint, &amp; Lee, 2016)</w:t>
          </w:r>
          <w:r w:rsidR="00D80373">
            <w:rPr>
              <w:rFonts w:ascii="Times New Roman" w:hAnsi="Times New Roman" w:cs="Times New Roman"/>
            </w:rPr>
            <w:fldChar w:fldCharType="end"/>
          </w:r>
        </w:sdtContent>
      </w:sdt>
      <w:r w:rsidR="00A75E76">
        <w:rPr>
          <w:rFonts w:ascii="Times New Roman" w:hAnsi="Times New Roman" w:cs="Times New Roman"/>
        </w:rPr>
        <w:t xml:space="preserve">. </w:t>
      </w:r>
    </w:p>
    <w:p w:rsidR="00A75E76" w:rsidRDefault="00292E4D" w:rsidP="000A30B5">
      <w:pPr>
        <w:spacing w:line="480" w:lineRule="auto"/>
        <w:rPr>
          <w:rFonts w:ascii="Times New Roman" w:hAnsi="Times New Roman" w:cs="Times New Roman"/>
        </w:rPr>
      </w:pPr>
      <w:r>
        <w:rPr>
          <w:rFonts w:ascii="Times New Roman" w:hAnsi="Times New Roman" w:cs="Times New Roman"/>
        </w:rPr>
        <w:tab/>
        <w:t>Cord blood CTP</w:t>
      </w:r>
      <w:r w:rsidR="00A75E76">
        <w:rPr>
          <w:rFonts w:ascii="Times New Roman" w:hAnsi="Times New Roman" w:cs="Times New Roman"/>
        </w:rPr>
        <w:t xml:space="preserve"> are normally used for pediatric patients with blood diseases</w:t>
      </w:r>
      <w:r>
        <w:rPr>
          <w:rFonts w:ascii="Times New Roman" w:hAnsi="Times New Roman" w:cs="Times New Roman"/>
        </w:rPr>
        <w:t>,</w:t>
      </w:r>
      <w:r w:rsidR="00A75E76">
        <w:rPr>
          <w:rFonts w:ascii="Times New Roman" w:hAnsi="Times New Roman" w:cs="Times New Roman"/>
        </w:rPr>
        <w:t xml:space="preserve"> but </w:t>
      </w:r>
      <w:r w:rsidR="001C25D5">
        <w:rPr>
          <w:rFonts w:ascii="Times New Roman" w:hAnsi="Times New Roman" w:cs="Times New Roman"/>
        </w:rPr>
        <w:t>were</w:t>
      </w:r>
      <w:r w:rsidR="00A75E76">
        <w:rPr>
          <w:rFonts w:ascii="Times New Roman" w:hAnsi="Times New Roman" w:cs="Times New Roman"/>
        </w:rPr>
        <w:t xml:space="preserve"> sometimes used in adults </w:t>
      </w:r>
      <w:r>
        <w:rPr>
          <w:rFonts w:ascii="Times New Roman" w:hAnsi="Times New Roman" w:cs="Times New Roman"/>
        </w:rPr>
        <w:t>in cases where</w:t>
      </w:r>
      <w:r w:rsidR="00A75E76">
        <w:rPr>
          <w:rFonts w:ascii="Times New Roman" w:hAnsi="Times New Roman" w:cs="Times New Roman"/>
        </w:rPr>
        <w:t xml:space="preserve"> HLA matched bone marrow donors </w:t>
      </w:r>
      <w:r w:rsidR="001C25D5">
        <w:rPr>
          <w:rFonts w:ascii="Times New Roman" w:hAnsi="Times New Roman" w:cs="Times New Roman"/>
        </w:rPr>
        <w:t>were</w:t>
      </w:r>
      <w:r w:rsidR="00A75E76">
        <w:rPr>
          <w:rFonts w:ascii="Times New Roman" w:hAnsi="Times New Roman" w:cs="Times New Roman"/>
        </w:rPr>
        <w:t xml:space="preserve"> hard to find</w:t>
      </w:r>
      <w:r>
        <w:rPr>
          <w:rFonts w:ascii="Times New Roman" w:hAnsi="Times New Roman" w:cs="Times New Roman"/>
        </w:rPr>
        <w:t xml:space="preserve"> </w:t>
      </w:r>
      <w:sdt>
        <w:sdtPr>
          <w:rPr>
            <w:rFonts w:ascii="Times New Roman" w:hAnsi="Times New Roman" w:cs="Times New Roman"/>
          </w:rPr>
          <w:id w:val="-157311479"/>
          <w:citation/>
        </w:sdtPr>
        <w:sdtContent>
          <w:r w:rsidR="00D80373">
            <w:rPr>
              <w:rFonts w:ascii="Times New Roman" w:hAnsi="Times New Roman" w:cs="Times New Roman"/>
            </w:rPr>
            <w:fldChar w:fldCharType="begin"/>
          </w:r>
          <w:r>
            <w:rPr>
              <w:rFonts w:ascii="Times New Roman" w:hAnsi="Times New Roman" w:cs="Times New Roman"/>
            </w:rPr>
            <w:instrText xml:space="preserve"> CITATION JAG16 \l 1033 </w:instrText>
          </w:r>
          <w:r w:rsidR="00D80373">
            <w:rPr>
              <w:rFonts w:ascii="Times New Roman" w:hAnsi="Times New Roman" w:cs="Times New Roman"/>
            </w:rPr>
            <w:fldChar w:fldCharType="separate"/>
          </w:r>
          <w:r w:rsidRPr="00292E4D">
            <w:rPr>
              <w:rFonts w:ascii="Times New Roman" w:hAnsi="Times New Roman" w:cs="Times New Roman"/>
              <w:noProof/>
            </w:rPr>
            <w:t>(Gutman, Ross, Smith, Myint, &amp; Lee, 2016)</w:t>
          </w:r>
          <w:r w:rsidR="00D80373">
            <w:rPr>
              <w:rFonts w:ascii="Times New Roman" w:hAnsi="Times New Roman" w:cs="Times New Roman"/>
            </w:rPr>
            <w:fldChar w:fldCharType="end"/>
          </w:r>
        </w:sdtContent>
      </w:sdt>
      <w:r w:rsidR="00A75E76">
        <w:rPr>
          <w:rFonts w:ascii="Times New Roman" w:hAnsi="Times New Roman" w:cs="Times New Roman"/>
        </w:rPr>
        <w:t xml:space="preserve">. Cord blood is useful in these circumstances because </w:t>
      </w:r>
      <w:r>
        <w:rPr>
          <w:rFonts w:ascii="Times New Roman" w:hAnsi="Times New Roman" w:cs="Times New Roman"/>
        </w:rPr>
        <w:t xml:space="preserve">the baby </w:t>
      </w:r>
      <w:r w:rsidR="001C25D5">
        <w:rPr>
          <w:rFonts w:ascii="Times New Roman" w:hAnsi="Times New Roman" w:cs="Times New Roman"/>
        </w:rPr>
        <w:t xml:space="preserve">cord blood </w:t>
      </w:r>
      <w:r>
        <w:rPr>
          <w:rFonts w:ascii="Times New Roman" w:hAnsi="Times New Roman" w:cs="Times New Roman"/>
        </w:rPr>
        <w:t>donors</w:t>
      </w:r>
      <w:r w:rsidR="00A75E76">
        <w:rPr>
          <w:rFonts w:ascii="Times New Roman" w:hAnsi="Times New Roman" w:cs="Times New Roman"/>
        </w:rPr>
        <w:t xml:space="preserve"> do not have </w:t>
      </w:r>
      <w:r>
        <w:rPr>
          <w:rFonts w:ascii="Times New Roman" w:hAnsi="Times New Roman" w:cs="Times New Roman"/>
        </w:rPr>
        <w:t>well-developed</w:t>
      </w:r>
      <w:r w:rsidR="00A75E76">
        <w:rPr>
          <w:rFonts w:ascii="Times New Roman" w:hAnsi="Times New Roman" w:cs="Times New Roman"/>
        </w:rPr>
        <w:t xml:space="preserve"> antigens or antibodies due to t</w:t>
      </w:r>
      <w:r>
        <w:rPr>
          <w:rFonts w:ascii="Times New Roman" w:hAnsi="Times New Roman" w:cs="Times New Roman"/>
        </w:rPr>
        <w:t xml:space="preserve">heir undeveloped immune systems, therefore the recipient would have less of a chance to develop GVHD. </w:t>
      </w:r>
      <w:proofErr w:type="spellStart"/>
      <w:r>
        <w:rPr>
          <w:rFonts w:ascii="Times New Roman" w:hAnsi="Times New Roman" w:cs="Times New Roman"/>
        </w:rPr>
        <w:t>Gutman</w:t>
      </w:r>
      <w:proofErr w:type="spellEnd"/>
      <w:r>
        <w:rPr>
          <w:rFonts w:ascii="Times New Roman" w:hAnsi="Times New Roman" w:cs="Times New Roman"/>
        </w:rPr>
        <w:t xml:space="preserve"> </w:t>
      </w:r>
      <w:r w:rsidR="00AA51DB">
        <w:rPr>
          <w:rFonts w:ascii="Times New Roman" w:hAnsi="Times New Roman" w:cs="Times New Roman"/>
        </w:rPr>
        <w:t>used</w:t>
      </w:r>
      <w:r>
        <w:rPr>
          <w:rFonts w:ascii="Times New Roman" w:hAnsi="Times New Roman" w:cs="Times New Roman"/>
        </w:rPr>
        <w:t xml:space="preserve"> the idea of only using cord blood in rare, high risk cases and tested it </w:t>
      </w:r>
      <w:r>
        <w:rPr>
          <w:rFonts w:ascii="Times New Roman" w:hAnsi="Times New Roman" w:cs="Times New Roman"/>
        </w:rPr>
        <w:lastRenderedPageBreak/>
        <w:t>against the normal bone marrow transplantation to help patients have better post treatment outcomes</w:t>
      </w:r>
      <w:sdt>
        <w:sdtPr>
          <w:rPr>
            <w:rFonts w:ascii="Times New Roman" w:hAnsi="Times New Roman" w:cs="Times New Roman"/>
          </w:rPr>
          <w:id w:val="370270359"/>
          <w:citation/>
        </w:sdtPr>
        <w:sdtContent>
          <w:r w:rsidR="00D80373">
            <w:rPr>
              <w:rFonts w:ascii="Times New Roman" w:hAnsi="Times New Roman" w:cs="Times New Roman"/>
            </w:rPr>
            <w:fldChar w:fldCharType="begin"/>
          </w:r>
          <w:r>
            <w:rPr>
              <w:rFonts w:ascii="Times New Roman" w:hAnsi="Times New Roman" w:cs="Times New Roman"/>
            </w:rPr>
            <w:instrText xml:space="preserve"> CITATION JAG16 \l 1033 </w:instrText>
          </w:r>
          <w:r w:rsidR="00D80373">
            <w:rPr>
              <w:rFonts w:ascii="Times New Roman" w:hAnsi="Times New Roman" w:cs="Times New Roman"/>
            </w:rPr>
            <w:fldChar w:fldCharType="separate"/>
          </w:r>
          <w:r>
            <w:rPr>
              <w:rFonts w:ascii="Times New Roman" w:hAnsi="Times New Roman" w:cs="Times New Roman"/>
              <w:noProof/>
            </w:rPr>
            <w:t xml:space="preserve"> </w:t>
          </w:r>
          <w:r w:rsidRPr="00292E4D">
            <w:rPr>
              <w:rFonts w:ascii="Times New Roman" w:hAnsi="Times New Roman" w:cs="Times New Roman"/>
              <w:noProof/>
            </w:rPr>
            <w:t>(Gutman, Ross, Smith, Myint, &amp; Lee, 2016)</w:t>
          </w:r>
          <w:r w:rsidR="00D80373">
            <w:rPr>
              <w:rFonts w:ascii="Times New Roman" w:hAnsi="Times New Roman" w:cs="Times New Roman"/>
            </w:rPr>
            <w:fldChar w:fldCharType="end"/>
          </w:r>
        </w:sdtContent>
      </w:sdt>
      <w:r>
        <w:rPr>
          <w:rFonts w:ascii="Times New Roman" w:hAnsi="Times New Roman" w:cs="Times New Roman"/>
        </w:rPr>
        <w:t xml:space="preserve">. </w:t>
      </w:r>
    </w:p>
    <w:p w:rsidR="006C420A" w:rsidRDefault="006C420A" w:rsidP="000A30B5">
      <w:pPr>
        <w:spacing w:line="480" w:lineRule="auto"/>
        <w:rPr>
          <w:rFonts w:ascii="Times New Roman" w:hAnsi="Times New Roman" w:cs="Times New Roman"/>
        </w:rPr>
      </w:pPr>
      <w:r>
        <w:rPr>
          <w:rFonts w:ascii="Times New Roman" w:hAnsi="Times New Roman" w:cs="Times New Roman"/>
        </w:rPr>
        <w:tab/>
        <w:t>Because there are still cases of GVHD associated with leukemia patients, alternative practices and modifications to current therapy techniques are still being studied and evaluated. Cord blood transplantations are less invasive to collect compared to bone marrow, and have shown to be more effective</w:t>
      </w:r>
      <w:r w:rsidR="00FE40DA">
        <w:rPr>
          <w:rFonts w:ascii="Times New Roman" w:hAnsi="Times New Roman" w:cs="Times New Roman"/>
        </w:rPr>
        <w:t xml:space="preserve"> compared to bone marrow transplantation</w:t>
      </w:r>
      <w:sdt>
        <w:sdtPr>
          <w:rPr>
            <w:rFonts w:ascii="Times New Roman" w:hAnsi="Times New Roman" w:cs="Times New Roman"/>
          </w:rPr>
          <w:id w:val="1719317383"/>
          <w:citation/>
        </w:sdtPr>
        <w:sdtContent>
          <w:r w:rsidR="00D80373">
            <w:rPr>
              <w:rFonts w:ascii="Times New Roman" w:hAnsi="Times New Roman" w:cs="Times New Roman"/>
            </w:rPr>
            <w:fldChar w:fldCharType="begin"/>
          </w:r>
          <w:r>
            <w:rPr>
              <w:rFonts w:ascii="Times New Roman" w:hAnsi="Times New Roman" w:cs="Times New Roman"/>
            </w:rPr>
            <w:instrText xml:space="preserve"> CITATION JAG16 \l 1033 </w:instrText>
          </w:r>
          <w:r w:rsidR="00D80373">
            <w:rPr>
              <w:rFonts w:ascii="Times New Roman" w:hAnsi="Times New Roman" w:cs="Times New Roman"/>
            </w:rPr>
            <w:fldChar w:fldCharType="separate"/>
          </w:r>
          <w:r>
            <w:rPr>
              <w:rFonts w:ascii="Times New Roman" w:hAnsi="Times New Roman" w:cs="Times New Roman"/>
              <w:noProof/>
            </w:rPr>
            <w:t xml:space="preserve"> </w:t>
          </w:r>
          <w:r w:rsidRPr="006C420A">
            <w:rPr>
              <w:rFonts w:ascii="Times New Roman" w:hAnsi="Times New Roman" w:cs="Times New Roman"/>
              <w:noProof/>
            </w:rPr>
            <w:t>(Gutman, Ross, Smith, Myint, &amp; Lee, 2016)</w:t>
          </w:r>
          <w:r w:rsidR="00D80373">
            <w:rPr>
              <w:rFonts w:ascii="Times New Roman" w:hAnsi="Times New Roman" w:cs="Times New Roman"/>
            </w:rPr>
            <w:fldChar w:fldCharType="end"/>
          </w:r>
        </w:sdtContent>
      </w:sdt>
      <w:r>
        <w:rPr>
          <w:rFonts w:ascii="Times New Roman" w:hAnsi="Times New Roman" w:cs="Times New Roman"/>
        </w:rPr>
        <w:t xml:space="preserve">. The patients who received cord blood also needed less extensive immunosuppressive therapy, which would also help alleviate some cases of chronic GVHD due to steroid refractoriness </w:t>
      </w:r>
      <w:sdt>
        <w:sdtPr>
          <w:rPr>
            <w:rFonts w:ascii="Times New Roman" w:hAnsi="Times New Roman" w:cs="Times New Roman"/>
          </w:rPr>
          <w:id w:val="1553662360"/>
          <w:citation/>
        </w:sdtPr>
        <w:sdtContent>
          <w:r w:rsidR="00D80373">
            <w:rPr>
              <w:rFonts w:ascii="Times New Roman" w:hAnsi="Times New Roman" w:cs="Times New Roman"/>
            </w:rPr>
            <w:fldChar w:fldCharType="begin"/>
          </w:r>
          <w:r>
            <w:rPr>
              <w:rFonts w:ascii="Times New Roman" w:hAnsi="Times New Roman" w:cs="Times New Roman"/>
            </w:rPr>
            <w:instrText xml:space="preserve"> CITATION JAG16 \l 1033 </w:instrText>
          </w:r>
          <w:r w:rsidR="00D80373">
            <w:rPr>
              <w:rFonts w:ascii="Times New Roman" w:hAnsi="Times New Roman" w:cs="Times New Roman"/>
            </w:rPr>
            <w:fldChar w:fldCharType="separate"/>
          </w:r>
          <w:r w:rsidRPr="006C420A">
            <w:rPr>
              <w:rFonts w:ascii="Times New Roman" w:hAnsi="Times New Roman" w:cs="Times New Roman"/>
              <w:noProof/>
            </w:rPr>
            <w:t>(Gutman, Ross, Smith, Myint, &amp; Lee, 2016)</w:t>
          </w:r>
          <w:r w:rsidR="00D80373">
            <w:rPr>
              <w:rFonts w:ascii="Times New Roman" w:hAnsi="Times New Roman" w:cs="Times New Roman"/>
            </w:rPr>
            <w:fldChar w:fldCharType="end"/>
          </w:r>
        </w:sdtContent>
      </w:sdt>
      <w:sdt>
        <w:sdtPr>
          <w:rPr>
            <w:rFonts w:ascii="Times New Roman" w:hAnsi="Times New Roman" w:cs="Times New Roman"/>
          </w:rPr>
          <w:id w:val="1944644227"/>
          <w:citation/>
        </w:sdtPr>
        <w:sdtContent>
          <w:r w:rsidR="00D80373">
            <w:rPr>
              <w:rFonts w:ascii="Times New Roman" w:hAnsi="Times New Roman" w:cs="Times New Roman"/>
            </w:rPr>
            <w:fldChar w:fldCharType="begin"/>
          </w:r>
          <w:r>
            <w:rPr>
              <w:rFonts w:ascii="Times New Roman" w:hAnsi="Times New Roman" w:cs="Times New Roman"/>
            </w:rPr>
            <w:instrText xml:space="preserve"> CITATION Hol16 \l 1033 </w:instrText>
          </w:r>
          <w:r w:rsidR="00D80373">
            <w:rPr>
              <w:rFonts w:ascii="Times New Roman" w:hAnsi="Times New Roman" w:cs="Times New Roman"/>
            </w:rPr>
            <w:fldChar w:fldCharType="separate"/>
          </w:r>
          <w:r>
            <w:rPr>
              <w:rFonts w:ascii="Times New Roman" w:hAnsi="Times New Roman" w:cs="Times New Roman"/>
              <w:noProof/>
            </w:rPr>
            <w:t xml:space="preserve"> </w:t>
          </w:r>
          <w:r w:rsidRPr="006C420A">
            <w:rPr>
              <w:rFonts w:ascii="Times New Roman" w:hAnsi="Times New Roman" w:cs="Times New Roman"/>
              <w:noProof/>
            </w:rPr>
            <w:t>(Holtan &amp; Arora, 2016)</w:t>
          </w:r>
          <w:r w:rsidR="00D80373">
            <w:rPr>
              <w:rFonts w:ascii="Times New Roman" w:hAnsi="Times New Roman" w:cs="Times New Roman"/>
            </w:rPr>
            <w:fldChar w:fldCharType="end"/>
          </w:r>
        </w:sdtContent>
      </w:sdt>
      <w:r>
        <w:rPr>
          <w:rFonts w:ascii="Times New Roman" w:hAnsi="Times New Roman" w:cs="Times New Roman"/>
        </w:rPr>
        <w:t>.</w:t>
      </w:r>
      <w:r w:rsidR="001C25D5">
        <w:rPr>
          <w:rFonts w:ascii="Times New Roman" w:hAnsi="Times New Roman" w:cs="Times New Roman"/>
        </w:rPr>
        <w:t xml:space="preserve"> Overall, new techniques and modifications to old practices may help alleviate some of the cases of GVHD. </w:t>
      </w:r>
    </w:p>
    <w:p w:rsidR="001C25D5" w:rsidRDefault="001C25D5" w:rsidP="000A30B5">
      <w:pPr>
        <w:spacing w:line="480" w:lineRule="auto"/>
        <w:rPr>
          <w:rFonts w:ascii="Times New Roman" w:hAnsi="Times New Roman" w:cs="Times New Roman"/>
        </w:rPr>
      </w:pPr>
    </w:p>
    <w:p w:rsidR="001C25D5" w:rsidRDefault="001C25D5" w:rsidP="000A30B5">
      <w:pPr>
        <w:spacing w:line="480" w:lineRule="auto"/>
        <w:rPr>
          <w:rFonts w:ascii="Times New Roman" w:hAnsi="Times New Roman" w:cs="Times New Roman"/>
        </w:rPr>
      </w:pPr>
    </w:p>
    <w:p w:rsidR="001C25D5" w:rsidRDefault="001C25D5" w:rsidP="000A30B5">
      <w:pPr>
        <w:spacing w:line="480" w:lineRule="auto"/>
        <w:rPr>
          <w:rFonts w:ascii="Times New Roman" w:hAnsi="Times New Roman" w:cs="Times New Roman"/>
        </w:rPr>
      </w:pPr>
    </w:p>
    <w:p w:rsidR="001C25D5" w:rsidRDefault="001C25D5" w:rsidP="000A30B5">
      <w:pPr>
        <w:spacing w:line="480" w:lineRule="auto"/>
        <w:rPr>
          <w:rFonts w:ascii="Times New Roman" w:hAnsi="Times New Roman" w:cs="Times New Roman"/>
        </w:rPr>
      </w:pPr>
    </w:p>
    <w:p w:rsidR="001C25D5" w:rsidRDefault="001C25D5" w:rsidP="000A30B5">
      <w:pPr>
        <w:spacing w:line="480" w:lineRule="auto"/>
        <w:rPr>
          <w:rFonts w:ascii="Times New Roman" w:hAnsi="Times New Roman" w:cs="Times New Roman"/>
        </w:rPr>
      </w:pPr>
    </w:p>
    <w:p w:rsidR="001C25D5" w:rsidRDefault="001C25D5" w:rsidP="000A30B5">
      <w:pPr>
        <w:spacing w:line="480" w:lineRule="auto"/>
        <w:rPr>
          <w:rFonts w:ascii="Times New Roman" w:hAnsi="Times New Roman" w:cs="Times New Roman"/>
        </w:rPr>
      </w:pPr>
    </w:p>
    <w:p w:rsidR="001C25D5" w:rsidRDefault="001C25D5" w:rsidP="000A30B5">
      <w:pPr>
        <w:spacing w:line="480" w:lineRule="auto"/>
        <w:rPr>
          <w:rFonts w:ascii="Times New Roman" w:hAnsi="Times New Roman" w:cs="Times New Roman"/>
        </w:rPr>
      </w:pPr>
    </w:p>
    <w:p w:rsidR="001C25D5" w:rsidRDefault="001C25D5" w:rsidP="000A30B5">
      <w:pPr>
        <w:spacing w:line="480" w:lineRule="auto"/>
        <w:rPr>
          <w:rFonts w:ascii="Times New Roman" w:hAnsi="Times New Roman" w:cs="Times New Roman"/>
        </w:rPr>
      </w:pPr>
    </w:p>
    <w:p w:rsidR="001C25D5" w:rsidRDefault="001C25D5" w:rsidP="000A30B5">
      <w:pPr>
        <w:spacing w:line="480" w:lineRule="auto"/>
        <w:rPr>
          <w:rFonts w:ascii="Times New Roman" w:hAnsi="Times New Roman" w:cs="Times New Roman"/>
        </w:rPr>
      </w:pPr>
    </w:p>
    <w:p w:rsidR="001C25D5" w:rsidRDefault="001C25D5" w:rsidP="000A30B5">
      <w:pPr>
        <w:spacing w:line="480" w:lineRule="auto"/>
        <w:rPr>
          <w:rFonts w:ascii="Times New Roman" w:hAnsi="Times New Roman" w:cs="Times New Roman"/>
        </w:rPr>
      </w:pPr>
    </w:p>
    <w:p w:rsidR="001C25D5" w:rsidRDefault="001C25D5" w:rsidP="000A30B5">
      <w:pPr>
        <w:spacing w:line="480" w:lineRule="auto"/>
        <w:rPr>
          <w:rFonts w:ascii="Times New Roman" w:hAnsi="Times New Roman" w:cs="Times New Roman"/>
        </w:rPr>
      </w:pPr>
    </w:p>
    <w:p w:rsidR="009F6B45" w:rsidRDefault="009F6B45" w:rsidP="000A30B5">
      <w:pPr>
        <w:spacing w:line="480" w:lineRule="auto"/>
        <w:rPr>
          <w:rFonts w:ascii="Times New Roman" w:hAnsi="Times New Roman" w:cs="Times New Roman"/>
        </w:rPr>
      </w:pPr>
    </w:p>
    <w:p w:rsidR="001C25D5" w:rsidRPr="001C25D5" w:rsidRDefault="001C25D5" w:rsidP="001C25D5">
      <w:pPr>
        <w:spacing w:line="480" w:lineRule="auto"/>
        <w:jc w:val="center"/>
        <w:rPr>
          <w:rFonts w:ascii="Times New Roman" w:hAnsi="Times New Roman" w:cs="Times New Roman"/>
        </w:rPr>
      </w:pPr>
      <w:r w:rsidRPr="001C25D5">
        <w:rPr>
          <w:rFonts w:ascii="Times New Roman" w:hAnsi="Times New Roman" w:cs="Times New Roman"/>
        </w:rPr>
        <w:lastRenderedPageBreak/>
        <w:t>References</w:t>
      </w:r>
    </w:p>
    <w:sdt>
      <w:sdtPr>
        <w:rPr>
          <w:rFonts w:ascii="Times New Roman" w:hAnsi="Times New Roman" w:cs="Times New Roman"/>
        </w:rPr>
        <w:id w:val="111145805"/>
        <w:bibliography/>
      </w:sdtPr>
      <w:sdtContent>
        <w:p w:rsidR="001C25D5" w:rsidRPr="001C25D5" w:rsidRDefault="00D80373" w:rsidP="001C25D5">
          <w:pPr>
            <w:pStyle w:val="Bibliography"/>
            <w:spacing w:line="480" w:lineRule="auto"/>
            <w:ind w:left="720" w:hanging="720"/>
            <w:rPr>
              <w:rFonts w:ascii="Times New Roman" w:hAnsi="Times New Roman" w:cs="Times New Roman"/>
              <w:noProof/>
            </w:rPr>
          </w:pPr>
          <w:r w:rsidRPr="00D80373">
            <w:rPr>
              <w:rFonts w:ascii="Times New Roman" w:hAnsi="Times New Roman" w:cs="Times New Roman"/>
            </w:rPr>
            <w:fldChar w:fldCharType="begin"/>
          </w:r>
          <w:r w:rsidR="001C25D5" w:rsidRPr="001C25D5">
            <w:rPr>
              <w:rFonts w:ascii="Times New Roman" w:hAnsi="Times New Roman" w:cs="Times New Roman"/>
            </w:rPr>
            <w:instrText xml:space="preserve"> BIBLIOGRAPHY </w:instrText>
          </w:r>
          <w:r w:rsidRPr="00D80373">
            <w:rPr>
              <w:rFonts w:ascii="Times New Roman" w:hAnsi="Times New Roman" w:cs="Times New Roman"/>
            </w:rPr>
            <w:fldChar w:fldCharType="separate"/>
          </w:r>
          <w:r w:rsidR="001C25D5" w:rsidRPr="001C25D5">
            <w:rPr>
              <w:rFonts w:ascii="Times New Roman" w:hAnsi="Times New Roman" w:cs="Times New Roman"/>
              <w:noProof/>
            </w:rPr>
            <w:t xml:space="preserve">Gutman, J. A., Ross, K., Smith, C., Myint, H., &amp; Lee, C.-K. (2016, July). Chronic graft versus host disease burden and late transplant complications are lower following adult double cord blood versus matched unrelated donor peripheral blood transplantation. </w:t>
          </w:r>
          <w:r w:rsidR="001C25D5" w:rsidRPr="001C25D5">
            <w:rPr>
              <w:rFonts w:ascii="Times New Roman" w:hAnsi="Times New Roman" w:cs="Times New Roman"/>
              <w:i/>
              <w:iCs/>
              <w:noProof/>
            </w:rPr>
            <w:t>Bone Marrow Transplantation</w:t>
          </w:r>
          <w:r w:rsidR="001C25D5" w:rsidRPr="001C25D5">
            <w:rPr>
              <w:rFonts w:ascii="Times New Roman" w:hAnsi="Times New Roman" w:cs="Times New Roman"/>
              <w:noProof/>
            </w:rPr>
            <w:t xml:space="preserve"> .</w:t>
          </w:r>
        </w:p>
        <w:p w:rsidR="001C25D5" w:rsidRPr="001C25D5" w:rsidRDefault="001C25D5" w:rsidP="001C25D5">
          <w:pPr>
            <w:pStyle w:val="Bibliography"/>
            <w:spacing w:line="480" w:lineRule="auto"/>
            <w:ind w:left="720" w:hanging="720"/>
            <w:rPr>
              <w:rFonts w:ascii="Times New Roman" w:hAnsi="Times New Roman" w:cs="Times New Roman"/>
              <w:noProof/>
            </w:rPr>
          </w:pPr>
          <w:r w:rsidRPr="001C25D5">
            <w:rPr>
              <w:rFonts w:ascii="Times New Roman" w:hAnsi="Times New Roman" w:cs="Times New Roman"/>
              <w:noProof/>
            </w:rPr>
            <w:t xml:space="preserve">Holtan, S. G., &amp; Arora, M. (2016). Angiogenic factors and inflammation in steroid-refractory acute graft-vs-host disease. </w:t>
          </w:r>
          <w:r w:rsidRPr="001C25D5">
            <w:rPr>
              <w:rFonts w:ascii="Times New Roman" w:hAnsi="Times New Roman" w:cs="Times New Roman"/>
              <w:i/>
              <w:iCs/>
              <w:noProof/>
            </w:rPr>
            <w:t>Translational Research</w:t>
          </w:r>
          <w:r w:rsidRPr="001C25D5">
            <w:rPr>
              <w:rFonts w:ascii="Times New Roman" w:hAnsi="Times New Roman" w:cs="Times New Roman"/>
              <w:noProof/>
            </w:rPr>
            <w:t xml:space="preserve"> </w:t>
          </w:r>
          <w:r w:rsidRPr="001C25D5">
            <w:rPr>
              <w:rFonts w:ascii="Times New Roman" w:hAnsi="Times New Roman" w:cs="Times New Roman"/>
              <w:i/>
              <w:iCs/>
              <w:noProof/>
            </w:rPr>
            <w:t>, 167</w:t>
          </w:r>
          <w:r w:rsidRPr="001C25D5">
            <w:rPr>
              <w:rFonts w:ascii="Times New Roman" w:hAnsi="Times New Roman" w:cs="Times New Roman"/>
              <w:noProof/>
            </w:rPr>
            <w:t xml:space="preserve"> (1), 80-87.</w:t>
          </w:r>
        </w:p>
        <w:p w:rsidR="001C25D5" w:rsidRPr="001C25D5" w:rsidRDefault="001C25D5" w:rsidP="001C25D5">
          <w:pPr>
            <w:pStyle w:val="Bibliography"/>
            <w:spacing w:line="480" w:lineRule="auto"/>
            <w:ind w:left="720" w:hanging="720"/>
            <w:rPr>
              <w:rFonts w:ascii="Times New Roman" w:hAnsi="Times New Roman" w:cs="Times New Roman"/>
              <w:noProof/>
            </w:rPr>
          </w:pPr>
          <w:r w:rsidRPr="001C25D5">
            <w:rPr>
              <w:rFonts w:ascii="Times New Roman" w:hAnsi="Times New Roman" w:cs="Times New Roman"/>
              <w:noProof/>
            </w:rPr>
            <w:t xml:space="preserve">Horowitz, M. M., Gale, R. P., Sondel, P. M., Goldman, J. M., Kersey, J., Kolb, H.-J., et al. (1990). Graft-Versus-Leukemia Reactions After Bone Marrow Transplantation. </w:t>
          </w:r>
          <w:r w:rsidRPr="001C25D5">
            <w:rPr>
              <w:rFonts w:ascii="Times New Roman" w:hAnsi="Times New Roman" w:cs="Times New Roman"/>
              <w:i/>
              <w:iCs/>
              <w:noProof/>
            </w:rPr>
            <w:t>Blood</w:t>
          </w:r>
          <w:r w:rsidRPr="001C25D5">
            <w:rPr>
              <w:rFonts w:ascii="Times New Roman" w:hAnsi="Times New Roman" w:cs="Times New Roman"/>
              <w:noProof/>
            </w:rPr>
            <w:t xml:space="preserve"> </w:t>
          </w:r>
          <w:r w:rsidRPr="001C25D5">
            <w:rPr>
              <w:rFonts w:ascii="Times New Roman" w:hAnsi="Times New Roman" w:cs="Times New Roman"/>
              <w:i/>
              <w:iCs/>
              <w:noProof/>
            </w:rPr>
            <w:t>, 75</w:t>
          </w:r>
          <w:r w:rsidRPr="001C25D5">
            <w:rPr>
              <w:rFonts w:ascii="Times New Roman" w:hAnsi="Times New Roman" w:cs="Times New Roman"/>
              <w:noProof/>
            </w:rPr>
            <w:t xml:space="preserve"> (3), 555-560.</w:t>
          </w:r>
        </w:p>
        <w:p w:rsidR="001C25D5" w:rsidRPr="001C25D5" w:rsidRDefault="001C25D5" w:rsidP="001C25D5">
          <w:pPr>
            <w:pStyle w:val="Bibliography"/>
            <w:spacing w:line="480" w:lineRule="auto"/>
            <w:ind w:left="720" w:hanging="720"/>
            <w:rPr>
              <w:rFonts w:ascii="Times New Roman" w:hAnsi="Times New Roman" w:cs="Times New Roman"/>
              <w:noProof/>
            </w:rPr>
          </w:pPr>
          <w:r w:rsidRPr="001C25D5">
            <w:rPr>
              <w:rFonts w:ascii="Times New Roman" w:hAnsi="Times New Roman" w:cs="Times New Roman"/>
              <w:noProof/>
            </w:rPr>
            <w:t xml:space="preserve">Li, Y., Chen, H.-L., Bannick, N., Henry, M., Holm, A. N., Metwali, A., et al. (2014). Intestinal Helminths Regulate Lethal Acute Graft-versus-Host Disease and Preserve the Graft-versus-Tumor Effect in Mice. </w:t>
          </w:r>
          <w:r w:rsidRPr="001C25D5">
            <w:rPr>
              <w:rFonts w:ascii="Times New Roman" w:hAnsi="Times New Roman" w:cs="Times New Roman"/>
              <w:i/>
              <w:iCs/>
              <w:noProof/>
            </w:rPr>
            <w:t>The Journal of Immunology</w:t>
          </w:r>
          <w:r w:rsidRPr="001C25D5">
            <w:rPr>
              <w:rFonts w:ascii="Times New Roman" w:hAnsi="Times New Roman" w:cs="Times New Roman"/>
              <w:noProof/>
            </w:rPr>
            <w:t xml:space="preserve"> </w:t>
          </w:r>
          <w:r w:rsidRPr="001C25D5">
            <w:rPr>
              <w:rFonts w:ascii="Times New Roman" w:hAnsi="Times New Roman" w:cs="Times New Roman"/>
              <w:i/>
              <w:iCs/>
              <w:noProof/>
            </w:rPr>
            <w:t>, 194</w:t>
          </w:r>
          <w:r w:rsidRPr="001C25D5">
            <w:rPr>
              <w:rFonts w:ascii="Times New Roman" w:hAnsi="Times New Roman" w:cs="Times New Roman"/>
              <w:noProof/>
            </w:rPr>
            <w:t xml:space="preserve"> (3), 1011-1020.</w:t>
          </w:r>
        </w:p>
        <w:p w:rsidR="001C25D5" w:rsidRDefault="00D80373" w:rsidP="001C25D5">
          <w:pPr>
            <w:spacing w:line="480" w:lineRule="auto"/>
            <w:ind w:left="720" w:hanging="720"/>
          </w:pPr>
          <w:r w:rsidRPr="001C25D5">
            <w:rPr>
              <w:rFonts w:ascii="Times New Roman" w:hAnsi="Times New Roman" w:cs="Times New Roman"/>
              <w:b/>
              <w:bCs/>
              <w:noProof/>
            </w:rPr>
            <w:fldChar w:fldCharType="end"/>
          </w:r>
        </w:p>
      </w:sdtContent>
    </w:sdt>
    <w:p w:rsidR="001C25D5" w:rsidRPr="001C25D5" w:rsidRDefault="001C25D5" w:rsidP="001C25D5">
      <w:pPr>
        <w:spacing w:line="480" w:lineRule="auto"/>
        <w:rPr>
          <w:rFonts w:ascii="Times New Roman" w:hAnsi="Times New Roman" w:cs="Times New Roman"/>
        </w:rPr>
      </w:pPr>
    </w:p>
    <w:p w:rsidR="001C25D5" w:rsidRPr="000A30B5" w:rsidRDefault="001C25D5" w:rsidP="001C25D5">
      <w:pPr>
        <w:spacing w:line="480" w:lineRule="auto"/>
        <w:jc w:val="center"/>
        <w:rPr>
          <w:rFonts w:ascii="Times New Roman" w:hAnsi="Times New Roman" w:cs="Times New Roman"/>
        </w:rPr>
      </w:pPr>
    </w:p>
    <w:sectPr w:rsidR="001C25D5" w:rsidRPr="000A30B5" w:rsidSect="000A30B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00000001" w:usb1="08070000" w:usb2="00000010" w:usb3="00000000" w:csb0="00020000" w:csb1="00000000"/>
  </w:font>
  <w:font w:name="Lucida Grande">
    <w:charset w:val="00"/>
    <w:family w:val="auto"/>
    <w:pitch w:val="variable"/>
    <w:sig w:usb0="E1000AEF" w:usb1="5000A1FF" w:usb2="00000000" w:usb3="00000000" w:csb0="000001B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20"/>
  <w:characterSpacingControl w:val="doNotCompress"/>
  <w:compat>
    <w:useFELayout/>
  </w:compat>
  <w:rsids>
    <w:rsidRoot w:val="000A30B5"/>
    <w:rsid w:val="00055F06"/>
    <w:rsid w:val="000A30B5"/>
    <w:rsid w:val="00145771"/>
    <w:rsid w:val="001C25D5"/>
    <w:rsid w:val="00263052"/>
    <w:rsid w:val="00292E4D"/>
    <w:rsid w:val="00293C4C"/>
    <w:rsid w:val="00375353"/>
    <w:rsid w:val="00410E41"/>
    <w:rsid w:val="00465931"/>
    <w:rsid w:val="00551E57"/>
    <w:rsid w:val="00671C28"/>
    <w:rsid w:val="006C420A"/>
    <w:rsid w:val="00794E90"/>
    <w:rsid w:val="00894145"/>
    <w:rsid w:val="009F6B45"/>
    <w:rsid w:val="00A75E76"/>
    <w:rsid w:val="00AA51DB"/>
    <w:rsid w:val="00BB5CD4"/>
    <w:rsid w:val="00C32AE4"/>
    <w:rsid w:val="00C806C5"/>
    <w:rsid w:val="00D80373"/>
    <w:rsid w:val="00F14AF3"/>
    <w:rsid w:val="00FE40D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4AF3"/>
  </w:style>
  <w:style w:type="paragraph" w:styleId="Heading1">
    <w:name w:val="heading 1"/>
    <w:basedOn w:val="Normal"/>
    <w:next w:val="Normal"/>
    <w:link w:val="Heading1Char"/>
    <w:uiPriority w:val="9"/>
    <w:qFormat/>
    <w:rsid w:val="001C25D5"/>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51E5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51E57"/>
    <w:rPr>
      <w:rFonts w:ascii="Lucida Grande" w:hAnsi="Lucida Grande" w:cs="Lucida Grande"/>
      <w:sz w:val="18"/>
      <w:szCs w:val="18"/>
    </w:rPr>
  </w:style>
  <w:style w:type="character" w:customStyle="1" w:styleId="Heading1Char">
    <w:name w:val="Heading 1 Char"/>
    <w:basedOn w:val="DefaultParagraphFont"/>
    <w:link w:val="Heading1"/>
    <w:uiPriority w:val="9"/>
    <w:rsid w:val="001C25D5"/>
    <w:rPr>
      <w:rFonts w:asciiTheme="majorHAnsi" w:eastAsiaTheme="majorEastAsia" w:hAnsiTheme="majorHAnsi" w:cstheme="majorBidi"/>
      <w:b/>
      <w:bCs/>
      <w:color w:val="365F91" w:themeColor="accent1" w:themeShade="BF"/>
      <w:sz w:val="28"/>
      <w:szCs w:val="28"/>
      <w:lang w:bidi="en-US"/>
    </w:rPr>
  </w:style>
  <w:style w:type="paragraph" w:styleId="Bibliography">
    <w:name w:val="Bibliography"/>
    <w:basedOn w:val="Normal"/>
    <w:next w:val="Normal"/>
    <w:uiPriority w:val="37"/>
    <w:unhideWhenUsed/>
    <w:rsid w:val="001C25D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C25D5"/>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51E5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51E57"/>
    <w:rPr>
      <w:rFonts w:ascii="Lucida Grande" w:hAnsi="Lucida Grande" w:cs="Lucida Grande"/>
      <w:sz w:val="18"/>
      <w:szCs w:val="18"/>
    </w:rPr>
  </w:style>
  <w:style w:type="character" w:customStyle="1" w:styleId="Heading1Char">
    <w:name w:val="Heading 1 Char"/>
    <w:basedOn w:val="DefaultParagraphFont"/>
    <w:link w:val="Heading1"/>
    <w:uiPriority w:val="9"/>
    <w:rsid w:val="001C25D5"/>
    <w:rPr>
      <w:rFonts w:asciiTheme="majorHAnsi" w:eastAsiaTheme="majorEastAsia" w:hAnsiTheme="majorHAnsi" w:cstheme="majorBidi"/>
      <w:b/>
      <w:bCs/>
      <w:color w:val="365F91" w:themeColor="accent1" w:themeShade="BF"/>
      <w:sz w:val="28"/>
      <w:szCs w:val="28"/>
      <w:lang w:bidi="en-US"/>
    </w:rPr>
  </w:style>
  <w:style w:type="paragraph" w:styleId="Bibliography">
    <w:name w:val="Bibliography"/>
    <w:basedOn w:val="Normal"/>
    <w:next w:val="Normal"/>
    <w:uiPriority w:val="37"/>
    <w:unhideWhenUsed/>
    <w:rsid w:val="001C25D5"/>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Hor90</b:Tag>
    <b:SourceType>JournalArticle</b:SourceType>
    <b:Guid>{000549C6-006D-464F-9AA9-9CC2EEC56946}</b:Guid>
    <b:Title>Graft-Versus-Leukemia Reactions After Bone Marrow Transplantation</b:Title>
    <b:JournalName>Blood</b:JournalName>
    <b:Year>1990</b:Year>
    <b:Month>Feb</b:Month>
    <b:Day>1</b:Day>
    <b:Volume>75</b:Volume>
    <b:Issue>3</b:Issue>
    <b:Pages>555-560</b:Pages>
    <b:Author>
      <b:Author>
        <b:NameList>
          <b:Person>
            <b:Last>Horowitz</b:Last>
            <b:Middle>M.</b:Middle>
            <b:First>Mary</b:First>
          </b:Person>
          <b:Person>
            <b:Last>Gale</b:Last>
            <b:Middle>Peter</b:Middle>
            <b:First>Robert</b:First>
          </b:Person>
          <b:Person>
            <b:Last>Sondel</b:Last>
            <b:Middle>M.</b:Middle>
            <b:First>Paul</b:First>
          </b:Person>
          <b:Person>
            <b:Last>Goldman</b:Last>
            <b:Middle>M.</b:Middle>
            <b:First>John</b:First>
          </b:Person>
          <b:Person>
            <b:Last>Kersey</b:Last>
            <b:First>John</b:First>
          </b:Person>
          <b:Person>
            <b:Last>Kolb</b:Last>
            <b:First>Hans-Jochem</b:First>
          </b:Person>
          <b:Person>
            <b:Last>Rimm</b:Last>
            <b:Middle>A.</b:Middle>
            <b:First>Alfred</b:First>
          </b:Person>
          <b:Person>
            <b:Last>Ringden</b:Last>
            <b:First>Olle</b:First>
          </b:Person>
          <b:Person>
            <b:Last>Rozman</b:Last>
            <b:First>Ciril</b:First>
          </b:Person>
          <b:Person>
            <b:Last>Speck</b:Last>
            <b:First>Bruno</b:First>
          </b:Person>
          <b:Person>
            <b:Last>Truitt</b:Last>
            <b:Middle>L.</b:Middle>
            <b:First>Robert</b:First>
          </b:Person>
          <b:Person>
            <b:Last>Zwaan</b:Last>
            <b:Middle>E.</b:Middle>
            <b:First>Ferdinand</b:First>
          </b:Person>
          <b:Person>
            <b:Last>Bortin</b:Last>
            <b:Middle>M.</b:Middle>
            <b:First>Mortimer</b:First>
          </b:Person>
        </b:NameList>
      </b:Author>
    </b:Author>
    <b:RefOrder>2</b:RefOrder>
  </b:Source>
  <b:Source>
    <b:Tag>LiY14</b:Tag>
    <b:SourceType>JournalArticle</b:SourceType>
    <b:Guid>{BD4A7801-7DC8-A048-A746-C4854506BFCE}</b:Guid>
    <b:Title>Intestinal Helminths Regulate Lethal Acute Graft-versus-Host Disease and Preserve the Graft-versus-Tumor Effect in Mice</b:Title>
    <b:JournalName>The Journal of Immunology</b:JournalName>
    <b:Year>2014</b:Year>
    <b:Month>Dec</b:Month>
    <b:Day>19</b:Day>
    <b:Volume>194</b:Volume>
    <b:Issue>3</b:Issue>
    <b:Pages>1011-1020</b:Pages>
    <b:Author>
      <b:Author>
        <b:NameList>
          <b:Person>
            <b:Last>Li</b:Last>
            <b:First>Yue</b:First>
          </b:Person>
          <b:Person>
            <b:Last>Chen</b:Last>
            <b:First>Hung-Lin</b:First>
          </b:Person>
          <b:Person>
            <b:Last>Bannick</b:Last>
            <b:First>Nadine</b:First>
          </b:Person>
          <b:Person>
            <b:Last>Henry</b:Last>
            <b:First>Michael</b:First>
          </b:Person>
          <b:Person>
            <b:Last>Holm</b:Last>
            <b:Middle>N.</b:Middle>
            <b:First>Adrian</b:First>
          </b:Person>
          <b:Person>
            <b:Last>Metwali</b:Last>
            <b:First>Ahmed</b:First>
          </b:Person>
          <b:Person>
            <b:Last>Urban</b:Last>
            <b:Middle>F.</b:Middle>
            <b:First>Joseph</b:First>
          </b:Person>
          <b:Person>
            <b:Last>Rothman</b:Last>
            <b:Middle>B.</b:Middle>
            <b:First>Paul</b:First>
          </b:Person>
          <b:Person>
            <b:Last>Weiner</b:Last>
            <b:Middle>J.</b:Middle>
            <b:First>George</b:First>
          </b:Person>
          <b:Person>
            <b:Last>Blazar</b:Last>
            <b:Middle>R.</b:Middle>
            <b:First>Bruce</b:First>
          </b:Person>
          <b:Person>
            <b:Last>Elliott</b:Last>
            <b:Middle>E.</b:Middle>
            <b:First>David</b:First>
          </b:Person>
          <b:Person>
            <b:Last>Ince</b:Last>
            <b:Middle>Nedim</b:Middle>
            <b:First>M.</b:First>
          </b:Person>
        </b:NameList>
      </b:Author>
    </b:Author>
    <b:RefOrder>1</b:RefOrder>
  </b:Source>
  <b:Source>
    <b:Tag>Hol16</b:Tag>
    <b:SourceType>JournalArticle</b:SourceType>
    <b:Guid>{0649C8FA-C4C8-0A4F-AEE6-2736F0538869}</b:Guid>
    <b:Title>Angiogenic factors and inflammation in steroid-refractory acute graft-vs-host disease</b:Title>
    <b:JournalName>Translational Research</b:JournalName>
    <b:Year>2016</b:Year>
    <b:Month>Jan</b:Month>
    <b:Volume>167</b:Volume>
    <b:Issue>1</b:Issue>
    <b:Pages>80-87</b:Pages>
    <b:Author>
      <b:Author>
        <b:NameList>
          <b:Person>
            <b:Last>Holtan</b:Last>
            <b:Middle>G.</b:Middle>
            <b:First>Shernan</b:First>
          </b:Person>
          <b:Person>
            <b:Last>Arora</b:Last>
            <b:First>Mukta</b:First>
          </b:Person>
        </b:NameList>
      </b:Author>
    </b:Author>
    <b:RefOrder>4</b:RefOrder>
  </b:Source>
  <b:Source>
    <b:Tag>JAG16</b:Tag>
    <b:SourceType>JournalArticle</b:SourceType>
    <b:Guid>{5811A830-BB35-C343-8F98-BEFCF84EACD6}</b:Guid>
    <b:Author>
      <b:Author>
        <b:NameList>
          <b:Person>
            <b:Last>Gutman</b:Last>
            <b:Middle>A</b:Middle>
            <b:First>J</b:First>
          </b:Person>
          <b:Person>
            <b:Last>Ross</b:Last>
            <b:First>K</b:First>
          </b:Person>
          <b:Person>
            <b:Last>Smith</b:Last>
            <b:First>C</b:First>
          </b:Person>
          <b:Person>
            <b:Last>Myint</b:Last>
            <b:First>H</b:First>
          </b:Person>
          <b:Person>
            <b:Last>Lee</b:Last>
            <b:First>C-K</b:First>
          </b:Person>
        </b:NameList>
      </b:Author>
    </b:Author>
    <b:Title>Chronic graft versus host disease burden and late transplant complications are lower following adult double cord blood versus matched unrelated donor peripheral blood transplantation</b:Title>
    <b:JournalName>Bone Marrow Transplantation</b:JournalName>
    <b:Year>2016</b:Year>
    <b:Month>July</b:Month>
    <b:RefOrder>3</b:RefOrder>
  </b:Source>
</b:Sources>
</file>

<file path=customXml/itemProps1.xml><?xml version="1.0" encoding="utf-8"?>
<ds:datastoreItem xmlns:ds="http://schemas.openxmlformats.org/officeDocument/2006/customXml" ds:itemID="{A6D0E623-B1DE-45A9-9F62-A68930A85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974</Words>
  <Characters>5552</Characters>
  <Application>Microsoft Office Word</Application>
  <DocSecurity>0</DocSecurity>
  <Lines>46</Lines>
  <Paragraphs>13</Paragraphs>
  <ScaleCrop>false</ScaleCrop>
  <Company>Sissters of Mercy Health Systems</Company>
  <LinksUpToDate>false</LinksUpToDate>
  <CharactersWithSpaces>6513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Bethany Moritz</dc:creator>
  <cp:lastModifiedBy>JenniferJung</cp:lastModifiedBy>
  <cp:revision>2</cp:revision>
  <dcterms:created xsi:type="dcterms:W3CDTF">2017-04-06T19:30:00Z</dcterms:created>
  <dcterms:modified xsi:type="dcterms:W3CDTF">2017-04-06T19:30:00Z</dcterms:modified>
</cp:coreProperties>
</file>